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B971" w14:textId="77777777" w:rsidR="00057A57" w:rsidRPr="00E5447B" w:rsidRDefault="008D02DB">
      <w:pPr>
        <w:spacing w:before="200" w:after="6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5447B">
        <w:rPr>
          <w:rFonts w:ascii="Times New Roman" w:hAnsi="Times New Roman" w:cs="Times New Roman"/>
          <w:b/>
          <w:bCs/>
          <w:color w:val="7030A0"/>
          <w:sz w:val="24"/>
          <w:szCs w:val="24"/>
        </w:rPr>
        <w:t>HELEN KELLER INTERNATIONAL</w:t>
      </w:r>
    </w:p>
    <w:p w14:paraId="77F9CB63" w14:textId="0076E374" w:rsidR="00057A57" w:rsidRPr="006807DD" w:rsidRDefault="007E63DB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</w:p>
    <w:p w14:paraId="44FC7CAA" w14:textId="21D3B7B1" w:rsidR="00057A57" w:rsidRPr="0042071E" w:rsidRDefault="008D02DB">
      <w:pPr>
        <w:spacing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071E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En collaboration avec le </w:t>
      </w:r>
      <w:proofErr w:type="gramStart"/>
      <w:r w:rsidRPr="0042071E">
        <w:rPr>
          <w:rFonts w:ascii="Times New Roman" w:hAnsi="Times New Roman" w:cs="Times New Roman"/>
          <w:i/>
          <w:iCs/>
          <w:color w:val="auto"/>
          <w:sz w:val="24"/>
          <w:szCs w:val="24"/>
        </w:rPr>
        <w:t>Ministère</w:t>
      </w:r>
      <w:proofErr w:type="gramEnd"/>
      <w:r w:rsidRPr="0042071E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de la Santé et de l’Hygiène Publique (MSHP)</w:t>
      </w:r>
    </w:p>
    <w:tbl>
      <w:tblPr>
        <w:tblStyle w:val="TableNormal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057A57" w:rsidRPr="00234C37" w14:paraId="0C582B69" w14:textId="77777777" w:rsidTr="5296C253">
        <w:tc>
          <w:tcPr>
            <w:tcW w:w="0" w:type="auto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D6E4F0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25476E96" w14:textId="77777777" w:rsidR="00057A57" w:rsidRPr="00E5447B" w:rsidRDefault="008D02DB">
            <w:pPr>
              <w:spacing w:after="10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5447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TERMES DE RÉFÉRENCE</w:t>
            </w:r>
          </w:p>
          <w:p w14:paraId="406A2864" w14:textId="2DD2442E" w:rsidR="00057A57" w:rsidRPr="00E5447B" w:rsidRDefault="008D02DB">
            <w:pPr>
              <w:spacing w:after="10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5447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Recrutement d’un Cabinet de consultance</w:t>
            </w:r>
          </w:p>
          <w:p w14:paraId="439C4B23" w14:textId="2C223AF9" w:rsidR="00057A57" w:rsidRPr="00E5447B" w:rsidRDefault="008D02DB">
            <w:pPr>
              <w:spacing w:after="6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5296C253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>Enquête de Couverture en Supplémentation en Vitamine A</w:t>
            </w:r>
            <w:r w:rsidR="26A069E3" w:rsidRPr="5296C253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</w:rPr>
              <w:t xml:space="preserve"> in routine Services</w:t>
            </w:r>
          </w:p>
          <w:p w14:paraId="5DFB4A24" w14:textId="77777777" w:rsidR="00057A57" w:rsidRPr="006807DD" w:rsidRDefault="008D0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47B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  <w:lang w:val="en-US"/>
              </w:rPr>
              <w:t>(Post-Event Coverage Survey – PECS 2026)</w:t>
            </w:r>
          </w:p>
        </w:tc>
      </w:tr>
    </w:tbl>
    <w:p w14:paraId="2D8616F0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9072" w:type="dxa"/>
        <w:tblLook w:val="0000" w:firstRow="0" w:lastRow="0" w:firstColumn="0" w:lastColumn="0" w:noHBand="0" w:noVBand="0"/>
      </w:tblPr>
      <w:tblGrid>
        <w:gridCol w:w="3000"/>
        <w:gridCol w:w="6072"/>
      </w:tblGrid>
      <w:tr w:rsidR="00057A57" w:rsidRPr="006807DD" w14:paraId="645B8336" w14:textId="77777777" w:rsidTr="5296C253">
        <w:tc>
          <w:tcPr>
            <w:tcW w:w="3000" w:type="dxa"/>
          </w:tcPr>
          <w:p w14:paraId="0C2ACD15" w14:textId="77777777" w:rsidR="00057A57" w:rsidRPr="006664EF" w:rsidRDefault="008D02DB" w:rsidP="004375C1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64E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Régions d’intervention</w:t>
            </w:r>
          </w:p>
        </w:tc>
        <w:tc>
          <w:tcPr>
            <w:tcW w:w="6072" w:type="dxa"/>
          </w:tcPr>
          <w:p w14:paraId="610A5493" w14:textId="77777777" w:rsidR="00057A57" w:rsidRPr="006807DD" w:rsidRDefault="008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Saint-Louis | Diourbel | Matam | Tambacounda | Louga</w:t>
            </w:r>
          </w:p>
        </w:tc>
      </w:tr>
      <w:tr w:rsidR="00057A57" w:rsidRPr="006807DD" w14:paraId="3465F6EB" w14:textId="77777777" w:rsidTr="5296C253">
        <w:tc>
          <w:tcPr>
            <w:tcW w:w="3000" w:type="dxa"/>
          </w:tcPr>
          <w:p w14:paraId="25C59978" w14:textId="77777777" w:rsidR="00057A57" w:rsidRPr="006664EF" w:rsidRDefault="008D02DB" w:rsidP="004375C1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64E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Période de la mission</w:t>
            </w:r>
          </w:p>
        </w:tc>
        <w:tc>
          <w:tcPr>
            <w:tcW w:w="6072" w:type="dxa"/>
          </w:tcPr>
          <w:p w14:paraId="289D44D2" w14:textId="3C562379" w:rsidR="00057A57" w:rsidRPr="006807DD" w:rsidRDefault="00C7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Juin</w:t>
            </w:r>
            <w:r w:rsidR="008D02DB" w:rsidRPr="5296C25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Aout</w:t>
            </w:r>
            <w:r w:rsidR="008D02DB" w:rsidRPr="5296C25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057A57" w:rsidRPr="006807DD" w14:paraId="0CA48916" w14:textId="77777777" w:rsidTr="5296C253">
        <w:tc>
          <w:tcPr>
            <w:tcW w:w="3000" w:type="dxa"/>
          </w:tcPr>
          <w:p w14:paraId="46BE6BEA" w14:textId="77777777" w:rsidR="00057A57" w:rsidRPr="006664EF" w:rsidRDefault="008D02DB" w:rsidP="004375C1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64E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Date limite de candidature</w:t>
            </w:r>
          </w:p>
        </w:tc>
        <w:tc>
          <w:tcPr>
            <w:tcW w:w="6072" w:type="dxa"/>
          </w:tcPr>
          <w:p w14:paraId="123EC1FC" w14:textId="54521C9C" w:rsidR="00057A57" w:rsidRPr="006807DD" w:rsidRDefault="00C7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4C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gramEnd"/>
            <w:r w:rsidR="008D02DB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057A57" w:rsidRPr="006807DD" w14:paraId="1075121E" w14:textId="77777777" w:rsidTr="5296C253">
        <w:tc>
          <w:tcPr>
            <w:tcW w:w="3000" w:type="dxa"/>
          </w:tcPr>
          <w:p w14:paraId="1F2BCEBC" w14:textId="77777777" w:rsidR="00057A57" w:rsidRPr="006664EF" w:rsidRDefault="008D02DB" w:rsidP="004375C1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664E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Type de contrat</w:t>
            </w:r>
          </w:p>
        </w:tc>
        <w:tc>
          <w:tcPr>
            <w:tcW w:w="6072" w:type="dxa"/>
          </w:tcPr>
          <w:p w14:paraId="6EA6CF8C" w14:textId="2C200020" w:rsidR="00057A57" w:rsidRPr="006807DD" w:rsidRDefault="008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Contrat à durée déterminée</w:t>
            </w:r>
            <w:r w:rsidR="004E15DF">
              <w:rPr>
                <w:rFonts w:ascii="Times New Roman" w:hAnsi="Times New Roman" w:cs="Times New Roman"/>
                <w:sz w:val="24"/>
                <w:szCs w:val="24"/>
              </w:rPr>
              <w:t xml:space="preserve"> (cabinet de consultance</w:t>
            </w:r>
            <w:r w:rsidR="00B51F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7A57" w:rsidRPr="006807DD" w14:paraId="6D307427" w14:textId="77777777" w:rsidTr="5296C253">
        <w:tc>
          <w:tcPr>
            <w:tcW w:w="3000" w:type="dxa"/>
          </w:tcPr>
          <w:p w14:paraId="5DCBED45" w14:textId="210A6AD3" w:rsidR="00057A57" w:rsidRPr="006664EF" w:rsidRDefault="00B51FDE" w:rsidP="004375C1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S</w:t>
            </w:r>
            <w:r w:rsidR="008D02DB" w:rsidRPr="006664E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oumission</w:t>
            </w:r>
          </w:p>
        </w:tc>
        <w:tc>
          <w:tcPr>
            <w:tcW w:w="6072" w:type="dxa"/>
          </w:tcPr>
          <w:p w14:paraId="735A6062" w14:textId="38037868" w:rsidR="00057A57" w:rsidRPr="006807DD" w:rsidRDefault="00C7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E4ACD">
                <w:rPr>
                  <w:rStyle w:val="Lienhypertexte"/>
                </w:rPr>
                <w:t>sn.procurement</w:t>
              </w:r>
              <w:r w:rsidRPr="001E4ACD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@hki.org</w:t>
              </w:r>
            </w:hyperlink>
          </w:p>
        </w:tc>
      </w:tr>
    </w:tbl>
    <w:p w14:paraId="3DC70364" w14:textId="77777777" w:rsidR="006807DD" w:rsidRDefault="006807DD">
      <w:pPr>
        <w:spacing w:before="60" w:after="300"/>
        <w:jc w:val="center"/>
        <w:rPr>
          <w:rFonts w:ascii="Times New Roman" w:hAnsi="Times New Roman" w:cs="Times New Roman"/>
          <w:i/>
          <w:iCs/>
          <w:color w:val="888888"/>
          <w:sz w:val="24"/>
          <w:szCs w:val="24"/>
        </w:rPr>
      </w:pPr>
    </w:p>
    <w:p w14:paraId="4859A9C7" w14:textId="41538FF8" w:rsidR="00057A57" w:rsidRPr="004375C1" w:rsidRDefault="008D02DB">
      <w:pPr>
        <w:spacing w:before="60" w:after="30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4375C1">
        <w:rPr>
          <w:rFonts w:ascii="Times New Roman" w:hAnsi="Times New Roman" w:cs="Times New Roman"/>
          <w:b/>
          <w:bCs/>
          <w:color w:val="7030A0"/>
          <w:sz w:val="24"/>
          <w:szCs w:val="24"/>
        </w:rPr>
        <w:t>NB : Seules les candidatures des cabinets de consultance sont acceptées.</w:t>
      </w:r>
    </w:p>
    <w:p w14:paraId="32D31388" w14:textId="77777777" w:rsidR="00057A57" w:rsidRPr="004375C1" w:rsidRDefault="008D02DB">
      <w:pPr>
        <w:spacing w:before="280" w:after="120"/>
        <w:rPr>
          <w:rFonts w:ascii="Times New Roman" w:hAnsi="Times New Roman" w:cs="Times New Roman"/>
          <w:color w:val="7030A0"/>
          <w:sz w:val="24"/>
          <w:szCs w:val="24"/>
        </w:rPr>
      </w:pPr>
      <w:r w:rsidRPr="004375C1">
        <w:rPr>
          <w:rFonts w:ascii="Times New Roman" w:hAnsi="Times New Roman" w:cs="Times New Roman"/>
          <w:b/>
          <w:bCs/>
          <w:color w:val="7030A0"/>
          <w:sz w:val="24"/>
          <w:szCs w:val="24"/>
        </w:rPr>
        <w:t>1.  CONTEXTE</w:t>
      </w:r>
    </w:p>
    <w:p w14:paraId="4C5E5712" w14:textId="4A9C69B0" w:rsidR="00057A57" w:rsidRPr="006807DD" w:rsidRDefault="008D02DB" w:rsidP="00965121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carence en vitamine A (CVA) demeure un problème majeur de santé publique au Sénégal. En 2011, l’Organisation Mondiale de la Santé (OMS) estimait que la CVA était responsable de 6% de l’ensemble des décès chez les enfants de moins de 5 ans. La supplémentation en vitamine A (SVA) fait partie des interventions coût-efficaces ayant le plus grand impact pour réduire la mortalité infanto-juvénile (MIJ), réduisant de 23% le niveau de mortalité chez les enfants de moins de 5 ans (Beaton et al., 1994).</w:t>
      </w:r>
    </w:p>
    <w:p w14:paraId="43E4E543" w14:textId="6D8F6465" w:rsidR="00057A57" w:rsidRPr="006807DD" w:rsidRDefault="008D02DB" w:rsidP="00965121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Sénégal, 24,8% des enfants de 12 à 59 mois souffraient d’une carence en vitamine A (COSFAM, 2011) et 66,1% d’anémie. La mortalité infanto-juvénile, bien qu’en baisse, reste particulièrement élevée dans les régions ciblées. En 2017, les taux de mortalité infanto-juvénile dépassaient 70‰ dans des régions comme Matam, Tambacounda et Diourbel, justifiant l’intensification des interventions nutritionnelles.</w:t>
      </w:r>
    </w:p>
    <w:p w14:paraId="019D5983" w14:textId="197379DE" w:rsidR="00057A57" w:rsidRPr="006807DD" w:rsidRDefault="008D02DB" w:rsidP="009651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 xml:space="preserve">Helen Keller International, en partenariat avec l’Alliance Mondiale pour la Vitamine A (GAVA), </w:t>
      </w:r>
      <w:proofErr w:type="gramStart"/>
      <w:r w:rsidRPr="5296C253">
        <w:rPr>
          <w:rFonts w:ascii="Times New Roman" w:hAnsi="Times New Roman" w:cs="Times New Roman"/>
          <w:sz w:val="24"/>
          <w:szCs w:val="24"/>
        </w:rPr>
        <w:t>appuie le</w:t>
      </w:r>
      <w:proofErr w:type="gramEnd"/>
      <w:r w:rsidRPr="5296C2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296C253">
        <w:rPr>
          <w:rFonts w:ascii="Times New Roman" w:hAnsi="Times New Roman" w:cs="Times New Roman"/>
          <w:sz w:val="24"/>
          <w:szCs w:val="24"/>
        </w:rPr>
        <w:t>Ministère</w:t>
      </w:r>
      <w:proofErr w:type="gramEnd"/>
      <w:r w:rsidRPr="5296C253">
        <w:rPr>
          <w:rFonts w:ascii="Times New Roman" w:hAnsi="Times New Roman" w:cs="Times New Roman"/>
          <w:sz w:val="24"/>
          <w:szCs w:val="24"/>
        </w:rPr>
        <w:t xml:space="preserve"> de la Santé et de l’Hygiène Publique (MSHP) dans la mise en œuvre du programme de SVA de routine dans cinq régions : Saint-Louis, Diourbel, Matam, Tambacounda et Louga, couvrant environ 903</w:t>
      </w:r>
      <w:r w:rsidR="0D22FC93" w:rsidRPr="5296C253">
        <w:rPr>
          <w:rFonts w:ascii="Times New Roman" w:hAnsi="Times New Roman" w:cs="Times New Roman"/>
          <w:sz w:val="24"/>
          <w:szCs w:val="24"/>
        </w:rPr>
        <w:t>,</w:t>
      </w:r>
      <w:r w:rsidRPr="5296C253">
        <w:rPr>
          <w:rFonts w:ascii="Times New Roman" w:hAnsi="Times New Roman" w:cs="Times New Roman"/>
          <w:sz w:val="24"/>
          <w:szCs w:val="24"/>
        </w:rPr>
        <w:t>810 enfants de 6 à 59 mois (DSSIS 2026).</w:t>
      </w:r>
    </w:p>
    <w:p w14:paraId="0C7FB0BD" w14:textId="0B7E45A4" w:rsidR="00057A57" w:rsidRPr="006807DD" w:rsidRDefault="008D02DB" w:rsidP="00965121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>Après les résultats prometteurs enregistrés dans les districts pilotes (certains atteignant plus de 80% de couverture), et la Baseline VAS conduite en 2022 dans les régions de Diourbel, Louga et Tambacounda, HELEN KELLER envisage de réaliser l’enquête PECS pour le second semestre 2026 dans les cinq régions d’intervention.</w:t>
      </w:r>
    </w:p>
    <w:p w14:paraId="1A2B3C4D" w14:textId="3A58F332" w:rsidR="00D40BE8" w:rsidRDefault="00D40BE8" w:rsidP="00965121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2022, HELEN KELLER a conduit, en collaboration avec l</w:t>
      </w:r>
      <w:r w:rsidR="007C427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IPDSR/UCAD et le MSAS, une évaluation de référence (Baseline SVA 2022) de la supplémentation en vitamine A de routine dans trois régions : Diourbel, Louga et Tambacounda. Cette étude, menée auprès de 7 254 enfants de 6 à 59 mois, a établi les valeurs de référence pour les indicateurs SVA et déparasitage. Il en ressort que la couverture SVA (6-59 mois) était de 61,2% à Louga, 48,9% à Diourbel et 30,2% à Tambacounda, soit une moyenne de 46,4% dans les trois régions ; et que la diversité alimentaire minimale des femmes en âge de reproduction (15-49 ans) était de 58,9% à Diourbel, 58,2% à Louga et seulement 36,6% à Tambacounda. </w:t>
      </w:r>
      <w:r w:rsidR="00B878C0">
        <w:rPr>
          <w:rFonts w:ascii="Times New Roman" w:hAnsi="Times New Roman" w:cs="Times New Roman"/>
          <w:sz w:val="24"/>
          <w:szCs w:val="24"/>
        </w:rPr>
        <w:t xml:space="preserve">Une </w:t>
      </w:r>
      <w:r w:rsidR="00684404">
        <w:rPr>
          <w:rFonts w:ascii="Times New Roman" w:hAnsi="Times New Roman" w:cs="Times New Roman"/>
          <w:sz w:val="24"/>
          <w:szCs w:val="24"/>
        </w:rPr>
        <w:t xml:space="preserve">autre </w:t>
      </w:r>
      <w:r w:rsidR="00B878C0" w:rsidRPr="00B878C0">
        <w:rPr>
          <w:rFonts w:ascii="Times New Roman" w:hAnsi="Times New Roman" w:cs="Times New Roman"/>
          <w:sz w:val="24"/>
          <w:szCs w:val="24"/>
        </w:rPr>
        <w:t xml:space="preserve">enquête </w:t>
      </w:r>
      <w:r w:rsidR="00684404">
        <w:rPr>
          <w:rFonts w:ascii="Times New Roman" w:hAnsi="Times New Roman" w:cs="Times New Roman"/>
          <w:sz w:val="24"/>
          <w:szCs w:val="24"/>
        </w:rPr>
        <w:t>en</w:t>
      </w:r>
      <w:r w:rsidR="00B878C0" w:rsidRPr="00B878C0">
        <w:rPr>
          <w:rFonts w:ascii="Times New Roman" w:hAnsi="Times New Roman" w:cs="Times New Roman"/>
          <w:sz w:val="24"/>
          <w:szCs w:val="24"/>
        </w:rPr>
        <w:t xml:space="preserve"> 2022 menée dans les districts de Saint-Louis, Podor, Pété et Kanel révèle une progression notable de la couverture SVA, passant de 42 % en 2020 à 67 % en 2022, grâce notamment à la routinisation de la supplémentation au niveau communautaire.</w:t>
      </w:r>
    </w:p>
    <w:p w14:paraId="1A2B3C4E" w14:textId="6C69434A" w:rsidR="00D40BE8" w:rsidRDefault="40B8E670" w:rsidP="00965121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1774950B">
        <w:rPr>
          <w:rFonts w:ascii="Times New Roman" w:hAnsi="Times New Roman" w:cs="Times New Roman"/>
          <w:sz w:val="24"/>
          <w:szCs w:val="24"/>
        </w:rPr>
        <w:t>En 2024, HELEN KELLER a conduit, en collaboration avec l</w:t>
      </w:r>
      <w:r w:rsidR="6DD0E1A9" w:rsidRPr="1774950B">
        <w:rPr>
          <w:rFonts w:ascii="Times New Roman" w:hAnsi="Times New Roman" w:cs="Times New Roman"/>
          <w:sz w:val="24"/>
          <w:szCs w:val="24"/>
        </w:rPr>
        <w:t>’</w:t>
      </w:r>
      <w:r w:rsidRPr="1774950B">
        <w:rPr>
          <w:rFonts w:ascii="Times New Roman" w:hAnsi="Times New Roman" w:cs="Times New Roman"/>
          <w:sz w:val="24"/>
          <w:szCs w:val="24"/>
        </w:rPr>
        <w:t xml:space="preserve">ISED/UCAD et le MSAS, une évaluation de </w:t>
      </w:r>
      <w:r w:rsidR="06D56928" w:rsidRPr="1774950B">
        <w:rPr>
          <w:rFonts w:ascii="Times New Roman" w:hAnsi="Times New Roman" w:cs="Times New Roman"/>
          <w:sz w:val="24"/>
          <w:szCs w:val="24"/>
        </w:rPr>
        <w:t>référence</w:t>
      </w:r>
      <w:r w:rsidRPr="1774950B">
        <w:rPr>
          <w:rFonts w:ascii="Times New Roman" w:hAnsi="Times New Roman" w:cs="Times New Roman"/>
          <w:sz w:val="24"/>
          <w:szCs w:val="24"/>
        </w:rPr>
        <w:t xml:space="preserve"> (Baseline CMAM 2024) de la prise en charge de la malnutrition aiguë (</w:t>
      </w:r>
      <w:r w:rsidR="5D62793A" w:rsidRPr="1774950B">
        <w:rPr>
          <w:rFonts w:ascii="Times New Roman" w:hAnsi="Times New Roman" w:cs="Times New Roman"/>
          <w:sz w:val="24"/>
          <w:szCs w:val="24"/>
        </w:rPr>
        <w:t xml:space="preserve">incluant l’approche communautaire de la prise en charge des cas de MAS sans complications : </w:t>
      </w:r>
      <w:proofErr w:type="spellStart"/>
      <w:r w:rsidRPr="1774950B">
        <w:rPr>
          <w:rFonts w:ascii="Times New Roman" w:hAnsi="Times New Roman" w:cs="Times New Roman"/>
          <w:sz w:val="24"/>
          <w:szCs w:val="24"/>
        </w:rPr>
        <w:t>PECMAS_com</w:t>
      </w:r>
      <w:proofErr w:type="spellEnd"/>
      <w:r w:rsidRPr="1774950B">
        <w:rPr>
          <w:rFonts w:ascii="Times New Roman" w:hAnsi="Times New Roman" w:cs="Times New Roman"/>
          <w:sz w:val="24"/>
          <w:szCs w:val="24"/>
        </w:rPr>
        <w:t>) dans les cinq régions d’intervention, couvrant 6 999 enfants de 0 à 59 mois dans 16 départements. Cette étude</w:t>
      </w:r>
      <w:r w:rsidR="5D62793A" w:rsidRPr="1774950B">
        <w:rPr>
          <w:rFonts w:ascii="Times New Roman" w:hAnsi="Times New Roman" w:cs="Times New Roman"/>
          <w:sz w:val="24"/>
          <w:szCs w:val="24"/>
        </w:rPr>
        <w:t xml:space="preserve"> </w:t>
      </w:r>
      <w:r w:rsidRPr="1774950B">
        <w:rPr>
          <w:rFonts w:ascii="Times New Roman" w:hAnsi="Times New Roman" w:cs="Times New Roman"/>
          <w:sz w:val="24"/>
          <w:szCs w:val="24"/>
        </w:rPr>
        <w:t xml:space="preserve">a établi les valeurs de référence pour les indicateurs de malnutrition, d’allaitement et de diversité alimentaire : le taux de dépistage de la malnutrition varie de 22,2% à Tambacounda à 45,0% à Saint-Louis ; la prévalence de la MAS (6-59 mois) atteint 6,3% à Diourbel et celle de la MAM 15,5% à Matam ; le taux d’allaitement maternel exclusif (AME, 0-5 mois) varie de 22,1% à Koumpentoum à 67,6% à Louga ; et la diversité alimentaire minimale des enfants de 6 à 23 mois reste faible, allant de 16,9% à Tambacounda à 29,5% à Diourbel. Ces indicateurs constituent la référence Baseline CMAM 2024 pour le suivi </w:t>
      </w:r>
      <w:proofErr w:type="spellStart"/>
      <w:r w:rsidRPr="1774950B">
        <w:rPr>
          <w:rFonts w:ascii="Times New Roman" w:hAnsi="Times New Roman" w:cs="Times New Roman"/>
          <w:sz w:val="24"/>
          <w:szCs w:val="24"/>
        </w:rPr>
        <w:t>Midterm</w:t>
      </w:r>
      <w:proofErr w:type="spellEnd"/>
      <w:r w:rsidRPr="1774950B">
        <w:rPr>
          <w:rFonts w:ascii="Times New Roman" w:hAnsi="Times New Roman" w:cs="Times New Roman"/>
          <w:sz w:val="24"/>
          <w:szCs w:val="24"/>
        </w:rPr>
        <w:t xml:space="preserve"> (2026) et </w:t>
      </w:r>
      <w:proofErr w:type="spellStart"/>
      <w:r w:rsidRPr="1774950B">
        <w:rPr>
          <w:rFonts w:ascii="Times New Roman" w:hAnsi="Times New Roman" w:cs="Times New Roman"/>
          <w:sz w:val="24"/>
          <w:szCs w:val="24"/>
        </w:rPr>
        <w:t>Endline</w:t>
      </w:r>
      <w:proofErr w:type="spellEnd"/>
      <w:r w:rsidRPr="1774950B">
        <w:rPr>
          <w:rFonts w:ascii="Times New Roman" w:hAnsi="Times New Roman" w:cs="Times New Roman"/>
          <w:sz w:val="24"/>
          <w:szCs w:val="24"/>
        </w:rPr>
        <w:t xml:space="preserve"> (2028) du programme </w:t>
      </w:r>
      <w:r w:rsidR="588AC950" w:rsidRPr="1774950B">
        <w:rPr>
          <w:rFonts w:ascii="Times New Roman" w:hAnsi="Times New Roman" w:cs="Times New Roman"/>
          <w:sz w:val="24"/>
          <w:szCs w:val="24"/>
        </w:rPr>
        <w:t xml:space="preserve">de renforcement de la </w:t>
      </w:r>
      <w:r w:rsidRPr="1774950B">
        <w:rPr>
          <w:rFonts w:ascii="Times New Roman" w:hAnsi="Times New Roman" w:cs="Times New Roman"/>
          <w:sz w:val="24"/>
          <w:szCs w:val="24"/>
        </w:rPr>
        <w:t>PECMA. À noter que la Baseline CMAM 2024 comporte également des données sur la SVA et le déparasitage</w:t>
      </w:r>
      <w:r w:rsidR="743A9A9F" w:rsidRPr="1774950B">
        <w:rPr>
          <w:rFonts w:ascii="Times New Roman" w:hAnsi="Times New Roman" w:cs="Times New Roman"/>
          <w:sz w:val="24"/>
          <w:szCs w:val="24"/>
        </w:rPr>
        <w:t xml:space="preserve"> </w:t>
      </w:r>
      <w:r w:rsidR="78386DA2" w:rsidRPr="1774950B">
        <w:rPr>
          <w:rFonts w:ascii="Times New Roman" w:hAnsi="Times New Roman" w:cs="Times New Roman"/>
          <w:sz w:val="24"/>
          <w:szCs w:val="24"/>
        </w:rPr>
        <w:t>pour le premier semestre de</w:t>
      </w:r>
      <w:r w:rsidR="2D14397C" w:rsidRPr="1774950B">
        <w:rPr>
          <w:rFonts w:ascii="Times New Roman" w:hAnsi="Times New Roman" w:cs="Times New Roman"/>
          <w:sz w:val="24"/>
          <w:szCs w:val="24"/>
        </w:rPr>
        <w:t xml:space="preserve"> 2024 dans les cinq régions. La couverture SVA (6-59 mois) varie de 45,2% à Diourbel à 69,3% à Saint-Louis</w:t>
      </w:r>
      <w:r w:rsidR="54508352" w:rsidRPr="1774950B">
        <w:rPr>
          <w:rFonts w:ascii="Times New Roman" w:hAnsi="Times New Roman" w:cs="Times New Roman"/>
          <w:sz w:val="24"/>
          <w:szCs w:val="24"/>
        </w:rPr>
        <w:t xml:space="preserve">. </w:t>
      </w:r>
      <w:r w:rsidR="2D14397C" w:rsidRPr="1774950B">
        <w:rPr>
          <w:rFonts w:ascii="Times New Roman" w:hAnsi="Times New Roman" w:cs="Times New Roman"/>
          <w:sz w:val="24"/>
          <w:szCs w:val="24"/>
        </w:rPr>
        <w:t xml:space="preserve">Le déparasitage (12-59 mois) est plus faible, allant de 31,1% à Diourbel à 56,3% à Saint-Louis. </w:t>
      </w:r>
    </w:p>
    <w:p w14:paraId="19ABF457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4C97CFD" w14:textId="77777777" w:rsidR="00057A57" w:rsidRPr="009C2768" w:rsidRDefault="008D02DB">
      <w:pPr>
        <w:spacing w:before="280" w:after="120"/>
        <w:rPr>
          <w:rFonts w:ascii="Times New Roman" w:hAnsi="Times New Roman" w:cs="Times New Roman"/>
          <w:color w:val="7030A0"/>
          <w:sz w:val="24"/>
          <w:szCs w:val="24"/>
        </w:rPr>
      </w:pPr>
      <w:r w:rsidRPr="009C2768">
        <w:rPr>
          <w:rFonts w:ascii="Times New Roman" w:hAnsi="Times New Roman" w:cs="Times New Roman"/>
          <w:b/>
          <w:bCs/>
          <w:color w:val="7030A0"/>
          <w:sz w:val="24"/>
          <w:szCs w:val="24"/>
        </w:rPr>
        <w:t>2.  OBJECTIF DE LA CONSULTANCE</w:t>
      </w:r>
    </w:p>
    <w:p w14:paraId="067C703B" w14:textId="7CF115CC" w:rsidR="00057A57" w:rsidRPr="006807DD" w:rsidRDefault="32CE83A5" w:rsidP="1774950B">
      <w:pPr>
        <w:spacing w:before="100" w:after="100"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774950B">
        <w:rPr>
          <w:rFonts w:ascii="Times New Roman" w:hAnsi="Times New Roman" w:cs="Times New Roman"/>
          <w:sz w:val="24"/>
          <w:szCs w:val="24"/>
        </w:rPr>
        <w:t>L</w:t>
      </w:r>
      <w:r w:rsidR="2FA3DD32" w:rsidRPr="1774950B">
        <w:rPr>
          <w:rFonts w:ascii="Times New Roman" w:hAnsi="Times New Roman" w:cs="Times New Roman"/>
          <w:sz w:val="24"/>
          <w:szCs w:val="24"/>
        </w:rPr>
        <w:t>e cabinet de consultance</w:t>
      </w:r>
      <w:r w:rsidRPr="1774950B">
        <w:rPr>
          <w:rFonts w:ascii="Times New Roman" w:hAnsi="Times New Roman" w:cs="Times New Roman"/>
          <w:sz w:val="24"/>
          <w:szCs w:val="24"/>
        </w:rPr>
        <w:t xml:space="preserve"> devra conduire l’enquête PECS 2026 afin de mesurer la couverture de la Supplémentation en Vitamine A (SVA) dans les cinq régions d’intervention de HELEN KELLER, d’évaluer la diversité alimentaire des enfants et des femmes</w:t>
      </w:r>
      <w:r w:rsidR="2C69D60A" w:rsidRPr="1774950B">
        <w:rPr>
          <w:rFonts w:ascii="Times New Roman" w:hAnsi="Times New Roman" w:cs="Times New Roman"/>
          <w:sz w:val="24"/>
          <w:szCs w:val="24"/>
        </w:rPr>
        <w:t xml:space="preserve"> et de l’allaitement maternel exclusif,</w:t>
      </w:r>
      <w:r w:rsidRPr="1774950B">
        <w:rPr>
          <w:rFonts w:ascii="Times New Roman" w:hAnsi="Times New Roman" w:cs="Times New Roman"/>
          <w:sz w:val="24"/>
          <w:szCs w:val="24"/>
        </w:rPr>
        <w:t xml:space="preserve"> </w:t>
      </w:r>
      <w:r w:rsidR="2C69D60A" w:rsidRPr="1774950B">
        <w:rPr>
          <w:rFonts w:ascii="Times New Roman" w:hAnsi="Times New Roman" w:cs="Times New Roman"/>
          <w:sz w:val="24"/>
          <w:szCs w:val="24"/>
        </w:rPr>
        <w:t>,</w:t>
      </w:r>
      <w:r w:rsidRPr="1774950B">
        <w:rPr>
          <w:rFonts w:ascii="Times New Roman" w:hAnsi="Times New Roman" w:cs="Times New Roman"/>
          <w:sz w:val="24"/>
          <w:szCs w:val="24"/>
        </w:rPr>
        <w:t xml:space="preserve"> d’analyser les connaissances, attitudes et pratiques (CAP) des mères et gardiennes d’enfants</w:t>
      </w:r>
      <w:r w:rsidR="2C69D60A" w:rsidRPr="1774950B">
        <w:rPr>
          <w:rFonts w:ascii="Times New Roman" w:hAnsi="Times New Roman" w:cs="Times New Roman"/>
          <w:sz w:val="24"/>
          <w:szCs w:val="24"/>
        </w:rPr>
        <w:t xml:space="preserve"> par rapport à la SVA</w:t>
      </w:r>
      <w:r w:rsidR="7091DB0D" w:rsidRPr="1774950B">
        <w:rPr>
          <w:rFonts w:ascii="Times New Roman" w:hAnsi="Times New Roman" w:cs="Times New Roman"/>
          <w:sz w:val="24"/>
          <w:szCs w:val="24"/>
        </w:rPr>
        <w:t>/Déparasitage et   la malnutrition</w:t>
      </w:r>
      <w:r w:rsidR="0D233902" w:rsidRPr="17749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D233902" w:rsidRPr="1774950B">
        <w:rPr>
          <w:rFonts w:ascii="Times New Roman" w:hAnsi="Times New Roman" w:cs="Times New Roman"/>
          <w:sz w:val="24"/>
          <w:szCs w:val="24"/>
        </w:rPr>
        <w:t>aigue</w:t>
      </w:r>
      <w:proofErr w:type="spellEnd"/>
      <w:r w:rsidR="01CC3C48" w:rsidRPr="1774950B">
        <w:rPr>
          <w:rFonts w:ascii="Times New Roman" w:hAnsi="Times New Roman" w:cs="Times New Roman"/>
          <w:sz w:val="24"/>
          <w:szCs w:val="24"/>
        </w:rPr>
        <w:t xml:space="preserve">, mais aussi </w:t>
      </w:r>
      <w:r w:rsidR="78150852" w:rsidRPr="1774950B">
        <w:rPr>
          <w:rFonts w:ascii="Times New Roman" w:hAnsi="Times New Roman" w:cs="Times New Roman"/>
          <w:sz w:val="24"/>
          <w:szCs w:val="24"/>
        </w:rPr>
        <w:t>d’évaluer la couverture du dépistage de la malnutrition, de prise en charge (PECMA).</w:t>
      </w:r>
      <w:r w:rsidRPr="17749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CF420" w14:textId="47DE2F7D" w:rsidR="00057A57" w:rsidRPr="006807DD" w:rsidRDefault="008D02DB">
      <w:pPr>
        <w:spacing w:before="100" w:after="100"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>L’enquête s’inscrit dans un double système de référence : (i) la Baseline SVA 2022 (</w:t>
      </w:r>
      <w:r w:rsidR="00664B1F" w:rsidRPr="5296C253">
        <w:rPr>
          <w:rFonts w:ascii="Times New Roman" w:hAnsi="Times New Roman" w:cs="Times New Roman"/>
          <w:sz w:val="24"/>
          <w:szCs w:val="24"/>
        </w:rPr>
        <w:t xml:space="preserve">régions de </w:t>
      </w:r>
      <w:r w:rsidRPr="5296C253">
        <w:rPr>
          <w:rFonts w:ascii="Times New Roman" w:hAnsi="Times New Roman" w:cs="Times New Roman"/>
          <w:sz w:val="24"/>
          <w:szCs w:val="24"/>
        </w:rPr>
        <w:t>Diourbel, Louga, Tambacounda</w:t>
      </w:r>
      <w:r w:rsidR="00664B1F" w:rsidRPr="5296C253">
        <w:rPr>
          <w:rFonts w:ascii="Times New Roman" w:hAnsi="Times New Roman" w:cs="Times New Roman"/>
          <w:sz w:val="24"/>
          <w:szCs w:val="24"/>
        </w:rPr>
        <w:t xml:space="preserve"> et les </w:t>
      </w:r>
      <w:r w:rsidR="003937C8" w:rsidRPr="5296C253">
        <w:rPr>
          <w:rFonts w:ascii="Times New Roman" w:hAnsi="Times New Roman" w:cs="Times New Roman"/>
          <w:sz w:val="24"/>
          <w:szCs w:val="24"/>
        </w:rPr>
        <w:t>districts Saint-Louis, Podor, Pété et Kanel</w:t>
      </w:r>
      <w:r w:rsidRPr="5296C253">
        <w:rPr>
          <w:rFonts w:ascii="Times New Roman" w:hAnsi="Times New Roman" w:cs="Times New Roman"/>
          <w:sz w:val="24"/>
          <w:szCs w:val="24"/>
        </w:rPr>
        <w:t xml:space="preserve">) pour les indicateurs de couverture SVA et de </w:t>
      </w:r>
      <w:r w:rsidR="7B3172AE" w:rsidRPr="5296C253">
        <w:rPr>
          <w:rFonts w:ascii="Times New Roman" w:hAnsi="Times New Roman" w:cs="Times New Roman"/>
          <w:sz w:val="24"/>
          <w:szCs w:val="24"/>
        </w:rPr>
        <w:t>déparasitage ;</w:t>
      </w:r>
      <w:r w:rsidRPr="5296C253">
        <w:rPr>
          <w:rFonts w:ascii="Times New Roman" w:hAnsi="Times New Roman" w:cs="Times New Roman"/>
          <w:sz w:val="24"/>
          <w:szCs w:val="24"/>
        </w:rPr>
        <w:t xml:space="preserve"> et (ii) la Baseline CMAM 2024 (cinq régions) pour les indicateurs de dépistage de la malnutrition, de prise en charge (PECMA</w:t>
      </w:r>
      <w:r w:rsidR="00114404" w:rsidRPr="5296C253">
        <w:rPr>
          <w:rFonts w:ascii="Times New Roman" w:hAnsi="Times New Roman" w:cs="Times New Roman"/>
          <w:sz w:val="24"/>
          <w:szCs w:val="24"/>
        </w:rPr>
        <w:t xml:space="preserve"> intégrant </w:t>
      </w:r>
      <w:proofErr w:type="spellStart"/>
      <w:r w:rsidRPr="5296C253">
        <w:rPr>
          <w:rFonts w:ascii="Times New Roman" w:hAnsi="Times New Roman" w:cs="Times New Roman"/>
          <w:sz w:val="24"/>
          <w:szCs w:val="24"/>
        </w:rPr>
        <w:t>PECMAS_com</w:t>
      </w:r>
      <w:proofErr w:type="spellEnd"/>
      <w:r w:rsidRPr="5296C253">
        <w:rPr>
          <w:rFonts w:ascii="Times New Roman" w:hAnsi="Times New Roman" w:cs="Times New Roman"/>
          <w:sz w:val="24"/>
          <w:szCs w:val="24"/>
        </w:rPr>
        <w:t>), d’allaitement maternel exclusif (AME, 0-5 mois) et de diversité alimentaire minimale des enfants et des femmes.</w:t>
      </w:r>
    </w:p>
    <w:p w14:paraId="01BE5BC0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ED28C6B" w14:textId="77777777" w:rsidR="00057A57" w:rsidRPr="009C2768" w:rsidRDefault="008D02DB">
      <w:pPr>
        <w:spacing w:before="280" w:after="120"/>
        <w:rPr>
          <w:rFonts w:ascii="Times New Roman" w:hAnsi="Times New Roman" w:cs="Times New Roman"/>
          <w:color w:val="7030A0"/>
          <w:sz w:val="24"/>
          <w:szCs w:val="24"/>
        </w:rPr>
      </w:pPr>
      <w:r w:rsidRPr="5296C253">
        <w:rPr>
          <w:rFonts w:ascii="Times New Roman" w:hAnsi="Times New Roman" w:cs="Times New Roman"/>
          <w:b/>
          <w:bCs/>
          <w:color w:val="7030A0"/>
          <w:sz w:val="24"/>
          <w:szCs w:val="24"/>
        </w:rPr>
        <w:t>3.  OBJECTIFS SPÉCIFIQUES</w:t>
      </w:r>
    </w:p>
    <w:p w14:paraId="6E61E380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lastRenderedPageBreak/>
        <w:t>Appuyer la finalisation du protocole de l’étude et élaborer les outils de collecte de données (questionnaire ménage, guides d’entretien semi-structurés, guides de focus groups) ;</w:t>
      </w:r>
    </w:p>
    <w:p w14:paraId="015BD3FC" w14:textId="704E4B6B" w:rsidR="0255F5B6" w:rsidRDefault="0255F5B6" w:rsidP="5296C253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>Organiser la formation des enquêteurs et superviseurs</w:t>
      </w:r>
    </w:p>
    <w:p w14:paraId="76E9842A" w14:textId="28CFACD9" w:rsidR="0255F5B6" w:rsidRDefault="0255F5B6" w:rsidP="5296C253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 xml:space="preserve">Conduire l’enquête sur le terrain </w:t>
      </w:r>
      <w:r w:rsidR="48DDD607" w:rsidRPr="5296C253">
        <w:rPr>
          <w:rFonts w:ascii="Times New Roman" w:hAnsi="Times New Roman" w:cs="Times New Roman"/>
          <w:sz w:val="24"/>
          <w:szCs w:val="24"/>
        </w:rPr>
        <w:t xml:space="preserve">et la supervision </w:t>
      </w:r>
    </w:p>
    <w:p w14:paraId="5738B11C" w14:textId="23846BB2" w:rsidR="00B83E6E" w:rsidRPr="006807DD" w:rsidRDefault="26E0042C" w:rsidP="003C713A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>Conduire l’analyse des données en collaboration avec HELEN KELLER</w:t>
      </w:r>
    </w:p>
    <w:p w14:paraId="37183BE3" w14:textId="176120C6" w:rsidR="003C713A" w:rsidRDefault="17AC022E" w:rsidP="003C713A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>Développer</w:t>
      </w:r>
      <w:r w:rsidR="7A3DDAF6" w:rsidRPr="5296C253">
        <w:rPr>
          <w:rFonts w:ascii="Times New Roman" w:hAnsi="Times New Roman" w:cs="Times New Roman"/>
          <w:sz w:val="24"/>
          <w:szCs w:val="24"/>
        </w:rPr>
        <w:t xml:space="preserve"> le </w:t>
      </w:r>
      <w:r w:rsidR="2AD4DFD9" w:rsidRPr="5296C253">
        <w:rPr>
          <w:rFonts w:ascii="Times New Roman" w:hAnsi="Times New Roman" w:cs="Times New Roman"/>
          <w:sz w:val="24"/>
          <w:szCs w:val="24"/>
        </w:rPr>
        <w:t>rapport</w:t>
      </w:r>
      <w:r w:rsidR="7A3DDAF6" w:rsidRPr="5296C253">
        <w:rPr>
          <w:rFonts w:ascii="Times New Roman" w:hAnsi="Times New Roman" w:cs="Times New Roman"/>
          <w:sz w:val="24"/>
          <w:szCs w:val="24"/>
        </w:rPr>
        <w:t xml:space="preserve"> </w:t>
      </w:r>
      <w:r w:rsidR="7E067231" w:rsidRPr="5296C253">
        <w:rPr>
          <w:rFonts w:ascii="Times New Roman" w:hAnsi="Times New Roman" w:cs="Times New Roman"/>
          <w:sz w:val="24"/>
          <w:szCs w:val="24"/>
        </w:rPr>
        <w:t>préliminaire</w:t>
      </w:r>
      <w:r w:rsidR="5175724B" w:rsidRPr="5296C253">
        <w:rPr>
          <w:rFonts w:ascii="Times New Roman" w:hAnsi="Times New Roman" w:cs="Times New Roman"/>
          <w:sz w:val="24"/>
          <w:szCs w:val="24"/>
        </w:rPr>
        <w:t xml:space="preserve"> et les outils de </w:t>
      </w:r>
      <w:r w:rsidR="003C713A" w:rsidRPr="5296C253">
        <w:rPr>
          <w:rFonts w:ascii="Times New Roman" w:hAnsi="Times New Roman" w:cs="Times New Roman"/>
          <w:sz w:val="24"/>
          <w:szCs w:val="24"/>
        </w:rPr>
        <w:t>dissémination</w:t>
      </w:r>
    </w:p>
    <w:p w14:paraId="59DC0834" w14:textId="74F005B7" w:rsidR="00B83E6E" w:rsidRPr="006807DD" w:rsidRDefault="7A3DDAF6" w:rsidP="003C713A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 xml:space="preserve">Faciliter la </w:t>
      </w:r>
      <w:r w:rsidR="00B83E6E" w:rsidRPr="5296C253">
        <w:rPr>
          <w:rFonts w:ascii="Times New Roman" w:hAnsi="Times New Roman" w:cs="Times New Roman"/>
          <w:sz w:val="24"/>
          <w:szCs w:val="24"/>
        </w:rPr>
        <w:t>Présent</w:t>
      </w:r>
      <w:r w:rsidR="04FB2549" w:rsidRPr="5296C253">
        <w:rPr>
          <w:rFonts w:ascii="Times New Roman" w:hAnsi="Times New Roman" w:cs="Times New Roman"/>
          <w:sz w:val="24"/>
          <w:szCs w:val="24"/>
        </w:rPr>
        <w:t>ation</w:t>
      </w:r>
      <w:r w:rsidR="00B83E6E" w:rsidRPr="5296C253">
        <w:rPr>
          <w:rFonts w:ascii="Times New Roman" w:hAnsi="Times New Roman" w:cs="Times New Roman"/>
          <w:sz w:val="24"/>
          <w:szCs w:val="24"/>
        </w:rPr>
        <w:t xml:space="preserve"> et </w:t>
      </w:r>
      <w:r w:rsidR="003C713A" w:rsidRPr="5296C253">
        <w:rPr>
          <w:rFonts w:ascii="Times New Roman" w:hAnsi="Times New Roman" w:cs="Times New Roman"/>
          <w:sz w:val="24"/>
          <w:szCs w:val="24"/>
        </w:rPr>
        <w:t xml:space="preserve">validation </w:t>
      </w:r>
      <w:r w:rsidR="003C713A">
        <w:rPr>
          <w:rFonts w:ascii="Times New Roman" w:hAnsi="Times New Roman" w:cs="Times New Roman"/>
          <w:sz w:val="24"/>
          <w:szCs w:val="24"/>
        </w:rPr>
        <w:t>d</w:t>
      </w:r>
      <w:r w:rsidR="003C713A" w:rsidRPr="5296C253">
        <w:rPr>
          <w:rFonts w:ascii="Times New Roman" w:hAnsi="Times New Roman" w:cs="Times New Roman"/>
          <w:sz w:val="24"/>
          <w:szCs w:val="24"/>
        </w:rPr>
        <w:t>es</w:t>
      </w:r>
      <w:r w:rsidR="00B83E6E" w:rsidRPr="5296C253">
        <w:rPr>
          <w:rFonts w:ascii="Times New Roman" w:hAnsi="Times New Roman" w:cs="Times New Roman"/>
          <w:sz w:val="24"/>
          <w:szCs w:val="24"/>
        </w:rPr>
        <w:t xml:space="preserve"> résultats lors d’un atelier national de restitution.</w:t>
      </w:r>
    </w:p>
    <w:p w14:paraId="5073FC6D" w14:textId="3D2E162C" w:rsidR="117CA4C0" w:rsidRDefault="117CA4C0" w:rsidP="003C713A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 xml:space="preserve">Finaliser le rapport </w:t>
      </w:r>
    </w:p>
    <w:p w14:paraId="45647808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A5D9277" w14:textId="77777777" w:rsidR="00057A57" w:rsidRPr="009C2768" w:rsidRDefault="008D02DB">
      <w:pPr>
        <w:spacing w:before="280" w:after="120"/>
        <w:rPr>
          <w:rFonts w:ascii="Times New Roman" w:hAnsi="Times New Roman" w:cs="Times New Roman"/>
          <w:color w:val="7030A0"/>
          <w:sz w:val="24"/>
          <w:szCs w:val="24"/>
        </w:rPr>
      </w:pPr>
      <w:r w:rsidRPr="009C2768">
        <w:rPr>
          <w:rFonts w:ascii="Times New Roman" w:hAnsi="Times New Roman" w:cs="Times New Roman"/>
          <w:b/>
          <w:bCs/>
          <w:color w:val="7030A0"/>
          <w:sz w:val="24"/>
          <w:szCs w:val="24"/>
        </w:rPr>
        <w:t>4.  LIVRABLES DE LA CONSULTATION</w:t>
      </w:r>
    </w:p>
    <w:p w14:paraId="32C8A49D" w14:textId="23DF4E89" w:rsidR="00057A57" w:rsidRPr="006807DD" w:rsidRDefault="008D02DB">
      <w:pPr>
        <w:spacing w:before="100" w:after="100" w:line="2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principaux livrables de l’équipe de consultance leur calendrier et les résultats attendus :</w:t>
      </w:r>
    </w:p>
    <w:p w14:paraId="565FFC84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1872"/>
      </w:tblGrid>
      <w:tr w:rsidR="00057A57" w:rsidRPr="006807DD" w14:paraId="2263F8A9" w14:textId="77777777" w:rsidTr="25BD1E44">
        <w:trPr>
          <w:tblHeader/>
        </w:trPr>
        <w:tc>
          <w:tcPr>
            <w:tcW w:w="7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6739DB" w14:textId="77777777" w:rsidR="00057A57" w:rsidRPr="006807DD" w:rsidRDefault="008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Livrables et activités</w:t>
            </w:r>
          </w:p>
        </w:tc>
        <w:tc>
          <w:tcPr>
            <w:tcW w:w="18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23619A" w14:textId="77777777" w:rsidR="00057A57" w:rsidRPr="006807DD" w:rsidRDefault="008D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Durée (jours)</w:t>
            </w:r>
          </w:p>
        </w:tc>
      </w:tr>
      <w:tr w:rsidR="00057A57" w:rsidRPr="006807DD" w14:paraId="7504E7D6" w14:textId="77777777" w:rsidTr="25BD1E44"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472936" w14:textId="77777777" w:rsidR="00057A57" w:rsidRPr="006807DD" w:rsidRDefault="008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Phase préparatoire</w:t>
            </w:r>
          </w:p>
        </w:tc>
      </w:tr>
      <w:tr w:rsidR="00057A57" w:rsidRPr="006807DD" w14:paraId="2217AB1B" w14:textId="77777777" w:rsidTr="25BD1E44">
        <w:tc>
          <w:tcPr>
            <w:tcW w:w="7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3EFA3F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Elaborer / finaliser le protocole de l’étude et adapter les outils de collecte de données ;</w:t>
            </w:r>
          </w:p>
          <w:p w14:paraId="03132652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Mettre à jour le calendrier de mise en œuvre de toutes les activités ;</w:t>
            </w:r>
          </w:p>
          <w:p w14:paraId="10B1CCB1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Rechercher les autorisations d’enquête auprès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;</w:t>
            </w:r>
          </w:p>
          <w:p w14:paraId="10065EEC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Soumettre le protocole au Comité National d’Éthique pour la Recherche en Santé (CNERS) ;</w:t>
            </w:r>
          </w:p>
          <w:p w14:paraId="5F744C30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Coordonner avec l’ANSD pour l’établissement de la base de sondage et le tirage de l’échantillon ;</w:t>
            </w:r>
          </w:p>
          <w:p w14:paraId="0B9BC015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Identifier, recruter et former les enquêteurs et superviseurs ;</w:t>
            </w:r>
          </w:p>
          <w:p w14:paraId="712495A8" w14:textId="1D83A5E9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Paramétrer les questionnaires sur Survey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CTO  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effectuer les tests de validité.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8E386E" w14:textId="77777777" w:rsidR="00057A57" w:rsidRPr="006807DD" w:rsidRDefault="008D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7A57" w:rsidRPr="006807DD" w14:paraId="40C877C4" w14:textId="77777777" w:rsidTr="25BD1E44"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0BE7CE" w14:textId="77777777" w:rsidR="00057A57" w:rsidRPr="006807DD" w:rsidRDefault="008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Phase collecte</w:t>
            </w:r>
          </w:p>
        </w:tc>
      </w:tr>
      <w:tr w:rsidR="00057A57" w:rsidRPr="006807DD" w14:paraId="0AFC9300" w14:textId="77777777" w:rsidTr="25BD1E44">
        <w:tc>
          <w:tcPr>
            <w:tcW w:w="7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A7814E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Assurer la formation des enquêteurs et superviseurs pour la collecte des données quantitatives et qualitatives ;</w:t>
            </w:r>
          </w:p>
          <w:p w14:paraId="6618703D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Conduire le pré-test terrain dans un site hors zone d’étude et réviser les outils ;</w:t>
            </w:r>
          </w:p>
          <w:p w14:paraId="5296CB5F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Disponibiliser les cartes des Districts de Recensement (DR) tirés pour l’enquête ;</w:t>
            </w:r>
          </w:p>
          <w:p w14:paraId="7E04D4F9" w14:textId="1DA6E6D3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Organiser et superviser l’enquête terrain dans les 5 régions </w:t>
            </w:r>
          </w:p>
          <w:p w14:paraId="1A6B5004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Utiliser la plateforme Survey CTO de Helen Keller International pour la collecte de données et le suivi ;</w:t>
            </w:r>
          </w:p>
          <w:p w14:paraId="21E97129" w14:textId="06425510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Coordonner la collecte qualitative : entretiens semi-structurés multi-niveaux et focus groups ;</w:t>
            </w:r>
          </w:p>
          <w:p w14:paraId="13A70538" w14:textId="39C5E7EE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Assurer un suivi journalier de la collecte et de la qualité des données 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7FE839" w14:textId="40B0F38E" w:rsidR="00057A57" w:rsidRPr="006807DD" w:rsidRDefault="008D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057A57" w:rsidRPr="006807DD" w14:paraId="16445615" w14:textId="77777777" w:rsidTr="25BD1E44"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A014A2" w14:textId="77777777" w:rsidR="00057A57" w:rsidRPr="006807DD" w:rsidRDefault="008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Phase analyse et rédaction du rapport</w:t>
            </w:r>
          </w:p>
        </w:tc>
      </w:tr>
      <w:tr w:rsidR="00057A57" w:rsidRPr="006807DD" w14:paraId="05CF24E9" w14:textId="77777777" w:rsidTr="25BD1E44">
        <w:tc>
          <w:tcPr>
            <w:tcW w:w="7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A72531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Nettoyer et apurer systématiquement la base de données (doublons, valeurs aberrantes, incohérences) ;</w:t>
            </w:r>
          </w:p>
          <w:p w14:paraId="654AA02A" w14:textId="785F7A3D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Analyser les données quantitatives en tenant compte du plan de sondage complexe ;</w:t>
            </w:r>
          </w:p>
          <w:p w14:paraId="7AEF6384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Conduire l’analyse thématique des données qualitatives (entretiens et focus groups) ;</w:t>
            </w:r>
          </w:p>
          <w:p w14:paraId="4CC9AD3F" w14:textId="12AABF93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Comparer les résultats aux données de la Baseline SVA 2022 (SVA/déparasitage) et de la Baseline CMAM 2024 (</w:t>
            </w:r>
            <w:r w:rsidR="000B64F3">
              <w:rPr>
                <w:rFonts w:ascii="Times New Roman" w:hAnsi="Times New Roman" w:cs="Times New Roman"/>
                <w:sz w:val="24"/>
                <w:szCs w:val="24"/>
              </w:rPr>
              <w:t>PECMA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/AME/diversité alimentaire) ;</w:t>
            </w:r>
          </w:p>
          <w:p w14:paraId="7008321C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Rédiger le premier draft du rapport d’étude ;</w:t>
            </w:r>
          </w:p>
          <w:p w14:paraId="05774F6A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Organiser une première restitution des données avec le comité technique SVAR.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2E5712" w14:textId="77777777" w:rsidR="00057A57" w:rsidRPr="006807DD" w:rsidRDefault="008D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7A57" w:rsidRPr="006807DD" w14:paraId="64D86EA4" w14:textId="77777777" w:rsidTr="25BD1E44"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C7AA2D" w14:textId="77777777" w:rsidR="00057A57" w:rsidRPr="006807DD" w:rsidRDefault="008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Phase finalisation</w:t>
            </w:r>
          </w:p>
        </w:tc>
      </w:tr>
      <w:tr w:rsidR="00057A57" w:rsidRPr="006807DD" w14:paraId="2A4BC12D" w14:textId="77777777" w:rsidTr="25BD1E44">
        <w:tc>
          <w:tcPr>
            <w:tcW w:w="7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1971CD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Intégrer les feedbacks et recommandations du comité ;</w:t>
            </w:r>
          </w:p>
          <w:p w14:paraId="112FB8B7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Finaliser et partager le rapport technique final avec des recommandations opérationnelles claires ;</w:t>
            </w:r>
          </w:p>
          <w:p w14:paraId="6ECE05E4" w14:textId="77777777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Faciliter l’atelier national de restitution et de validation des résultats ;</w:t>
            </w:r>
          </w:p>
          <w:p w14:paraId="70C4EB9E" w14:textId="0D105375" w:rsidR="00057A57" w:rsidRPr="006807DD" w:rsidRDefault="008D02DB">
            <w:pPr>
              <w:pStyle w:val="Paragraphedeliste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Produire une présentation PowerPoint synthétique pour le plaidoyer et la mobilisation de ressources pour la pérennisation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900CE6" w14:textId="77777777" w:rsidR="00057A57" w:rsidRPr="006807DD" w:rsidRDefault="008D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7A57" w:rsidRPr="006807DD" w14:paraId="56103C1A" w14:textId="77777777" w:rsidTr="25BD1E44">
        <w:tc>
          <w:tcPr>
            <w:tcW w:w="7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3EAB39" w14:textId="77777777" w:rsidR="00057A57" w:rsidRPr="006807DD" w:rsidRDefault="008D0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DES JOURS DE CONSULTANCE</w:t>
            </w:r>
          </w:p>
        </w:tc>
        <w:tc>
          <w:tcPr>
            <w:tcW w:w="18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3B754E" w14:textId="25E57584" w:rsidR="00057A57" w:rsidRPr="006807DD" w:rsidRDefault="0098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D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jours</w:t>
            </w:r>
          </w:p>
        </w:tc>
      </w:tr>
    </w:tbl>
    <w:p w14:paraId="47DE9A92" w14:textId="3EDE65D6" w:rsidR="00057A57" w:rsidRPr="006807DD" w:rsidRDefault="00057A57" w:rsidP="25BD1E44">
      <w:pPr>
        <w:spacing w:before="60" w:after="60"/>
      </w:pPr>
    </w:p>
    <w:p w14:paraId="4F6C23D8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2A7E98B" w14:textId="77777777" w:rsidR="00057A57" w:rsidRPr="00FE7937" w:rsidRDefault="008D02DB">
      <w:pPr>
        <w:spacing w:before="280" w:after="120"/>
        <w:rPr>
          <w:rFonts w:ascii="Times New Roman" w:hAnsi="Times New Roman" w:cs="Times New Roman"/>
          <w:color w:val="7030A0"/>
          <w:sz w:val="24"/>
          <w:szCs w:val="24"/>
        </w:rPr>
      </w:pPr>
      <w:r w:rsidRPr="00FE79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6.  DURÉE DE LA CONSULTANCE</w:t>
      </w:r>
    </w:p>
    <w:p w14:paraId="7EB72553" w14:textId="3CC9DD19" w:rsidR="00057A57" w:rsidRPr="006807DD" w:rsidRDefault="00466901">
      <w:pPr>
        <w:spacing w:before="100" w:after="100" w:line="28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>4</w:t>
      </w:r>
      <w:r w:rsidR="00EB6E0D" w:rsidRPr="5296C253">
        <w:rPr>
          <w:rFonts w:ascii="Times New Roman" w:hAnsi="Times New Roman" w:cs="Times New Roman"/>
          <w:sz w:val="24"/>
          <w:szCs w:val="24"/>
        </w:rPr>
        <w:t>0</w:t>
      </w:r>
      <w:r w:rsidR="008D02DB" w:rsidRPr="5296C253">
        <w:rPr>
          <w:rFonts w:ascii="Times New Roman" w:hAnsi="Times New Roman" w:cs="Times New Roman"/>
          <w:sz w:val="24"/>
          <w:szCs w:val="24"/>
        </w:rPr>
        <w:t xml:space="preserve"> jours à répartir sur la période de </w:t>
      </w:r>
      <w:proofErr w:type="gramStart"/>
      <w:r w:rsidR="009D7988">
        <w:rPr>
          <w:rFonts w:ascii="Times New Roman" w:hAnsi="Times New Roman" w:cs="Times New Roman"/>
          <w:sz w:val="24"/>
          <w:szCs w:val="24"/>
        </w:rPr>
        <w:t>Juin</w:t>
      </w:r>
      <w:proofErr w:type="gramEnd"/>
      <w:r w:rsidR="009D7988" w:rsidRPr="5296C253">
        <w:rPr>
          <w:rFonts w:ascii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hAnsi="Times New Roman" w:cs="Times New Roman"/>
          <w:sz w:val="24"/>
          <w:szCs w:val="24"/>
        </w:rPr>
        <w:t>à</w:t>
      </w:r>
      <w:r w:rsidR="004C0BEB" w:rsidRPr="5296C253">
        <w:rPr>
          <w:rFonts w:ascii="Times New Roman" w:hAnsi="Times New Roman" w:cs="Times New Roman"/>
          <w:sz w:val="24"/>
          <w:szCs w:val="24"/>
        </w:rPr>
        <w:t xml:space="preserve"> </w:t>
      </w:r>
      <w:r w:rsidR="009D7988">
        <w:rPr>
          <w:rFonts w:ascii="Times New Roman" w:hAnsi="Times New Roman" w:cs="Times New Roman"/>
          <w:sz w:val="24"/>
          <w:szCs w:val="24"/>
        </w:rPr>
        <w:t>Aout</w:t>
      </w:r>
      <w:r w:rsidR="009D7988" w:rsidRPr="5296C253">
        <w:rPr>
          <w:rFonts w:ascii="Times New Roman" w:hAnsi="Times New Roman" w:cs="Times New Roman"/>
          <w:sz w:val="24"/>
          <w:szCs w:val="24"/>
        </w:rPr>
        <w:t xml:space="preserve"> </w:t>
      </w:r>
      <w:r w:rsidR="008D02DB" w:rsidRPr="5296C253">
        <w:rPr>
          <w:rFonts w:ascii="Times New Roman" w:hAnsi="Times New Roman" w:cs="Times New Roman"/>
          <w:sz w:val="24"/>
          <w:szCs w:val="24"/>
        </w:rPr>
        <w:t>2026.</w:t>
      </w:r>
    </w:p>
    <w:p w14:paraId="531FEB52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A93979D" w14:textId="007C9E6D" w:rsidR="00057A57" w:rsidRPr="00FE7937" w:rsidRDefault="008D02DB">
      <w:pPr>
        <w:spacing w:before="280" w:after="120"/>
        <w:rPr>
          <w:rFonts w:ascii="Times New Roman" w:hAnsi="Times New Roman" w:cs="Times New Roman"/>
          <w:color w:val="7030A0"/>
          <w:sz w:val="24"/>
          <w:szCs w:val="24"/>
        </w:rPr>
      </w:pPr>
      <w:r w:rsidRPr="00FE79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7.  QUALIFICATIONS</w:t>
      </w:r>
      <w:r w:rsidR="00FD2A9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DU CABINET DE CONSULTANCE</w:t>
      </w:r>
    </w:p>
    <w:p w14:paraId="5B2C07F3" w14:textId="000896C2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 w:rsidRPr="5296C253">
        <w:rPr>
          <w:rFonts w:ascii="Times New Roman" w:hAnsi="Times New Roman" w:cs="Times New Roman"/>
          <w:sz w:val="24"/>
          <w:szCs w:val="24"/>
        </w:rPr>
        <w:t>Diplôme universitaire de niveau Master (Bac+5) minimum en santé publique, épidémiologie, nutrition, statistiques ou domaine connexe </w:t>
      </w:r>
      <w:r w:rsidR="00635FC4">
        <w:rPr>
          <w:rFonts w:ascii="Times New Roman" w:hAnsi="Times New Roman" w:cs="Times New Roman"/>
          <w:sz w:val="24"/>
          <w:szCs w:val="24"/>
        </w:rPr>
        <w:t xml:space="preserve">pour le Lead du cabinet de </w:t>
      </w:r>
      <w:proofErr w:type="gramStart"/>
      <w:r w:rsidR="00635FC4">
        <w:rPr>
          <w:rFonts w:ascii="Times New Roman" w:hAnsi="Times New Roman" w:cs="Times New Roman"/>
          <w:sz w:val="24"/>
          <w:szCs w:val="24"/>
        </w:rPr>
        <w:t>consultance</w:t>
      </w:r>
      <w:r w:rsidRPr="5296C25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39CBAB" w14:textId="66741494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7 ans d’expérience dans la conduite d’enquêtes quantitatives et qualitatives en santé publique ou nutrition pour une organisation nationale ou internationale </w:t>
      </w:r>
      <w:r w:rsidR="002C7B0E">
        <w:rPr>
          <w:rFonts w:ascii="Times New Roman" w:hAnsi="Times New Roman" w:cs="Times New Roman"/>
          <w:sz w:val="24"/>
          <w:szCs w:val="24"/>
        </w:rPr>
        <w:t xml:space="preserve">pour le Lead du cabinet de </w:t>
      </w:r>
      <w:proofErr w:type="gramStart"/>
      <w:r w:rsidR="002C7B0E">
        <w:rPr>
          <w:rFonts w:ascii="Times New Roman" w:hAnsi="Times New Roman" w:cs="Times New Roman"/>
          <w:sz w:val="24"/>
          <w:szCs w:val="24"/>
        </w:rPr>
        <w:t>consultance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B474986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Expérience démontrée dans la conception et la mise en œuvre d’enquêtes en grappes (méthodologie OMS, LQAS, PECS, EDS ou similaire) ;</w:t>
      </w:r>
    </w:p>
    <w:p w14:paraId="18DC4A76" w14:textId="5D78979B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Bonne connaissance du système de santé au Sénégal, particulièrement les programmes de nutrition et de santé de la mère et de l’enfant </w:t>
      </w:r>
      <w:r w:rsidR="005C332C">
        <w:rPr>
          <w:rFonts w:ascii="Times New Roman" w:hAnsi="Times New Roman" w:cs="Times New Roman"/>
          <w:sz w:val="24"/>
          <w:szCs w:val="24"/>
        </w:rPr>
        <w:t xml:space="preserve">(SVA et </w:t>
      </w:r>
      <w:r w:rsidR="00795729">
        <w:rPr>
          <w:rFonts w:ascii="Times New Roman" w:hAnsi="Times New Roman" w:cs="Times New Roman"/>
          <w:sz w:val="24"/>
          <w:szCs w:val="24"/>
        </w:rPr>
        <w:t>PECMA)</w:t>
      </w:r>
      <w:r w:rsidR="00FD2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214DDC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Capacité à diriger efficacement une équipe de terrain plurirégionale et à communiquer une vision ;</w:t>
      </w:r>
    </w:p>
    <w:p w14:paraId="56B4C537" w14:textId="1C653000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Maîtrise des logiciels d’analyse statistique ;</w:t>
      </w:r>
    </w:p>
    <w:p w14:paraId="6FFEB614" w14:textId="60B9ABE0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Aptitude à utiliser la digitalisation pour la collecte des données (Survey CTO) ;</w:t>
      </w:r>
    </w:p>
    <w:p w14:paraId="199C1B13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Maîtrise du français (obligatoire) ; la connaissance de l’anglais est un atout ;</w:t>
      </w:r>
    </w:p>
    <w:p w14:paraId="14C75A7B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Maîtrise d’au moins une langue locale (wolof, pulaar, bambara) fortement souhaitée ;</w:t>
      </w:r>
    </w:p>
    <w:p w14:paraId="3EE6EB76" w14:textId="5971A312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Expérience antérieure avec HELEN KELLER, l’UNICEF, Nutrition International ou des organisations similaires est un atout.</w:t>
      </w:r>
    </w:p>
    <w:p w14:paraId="3BE3F259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2D50A10" w14:textId="24744226" w:rsidR="00057A57" w:rsidRPr="00FE7937" w:rsidRDefault="008D02DB">
      <w:pPr>
        <w:spacing w:before="280" w:after="120"/>
        <w:rPr>
          <w:rFonts w:ascii="Times New Roman" w:hAnsi="Times New Roman" w:cs="Times New Roman"/>
          <w:color w:val="7030A0"/>
          <w:sz w:val="24"/>
          <w:szCs w:val="24"/>
        </w:rPr>
      </w:pPr>
      <w:r w:rsidRPr="00FE79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8.  CHRONOGRAMME (proposé par le cabinet de consultance)</w:t>
      </w:r>
    </w:p>
    <w:p w14:paraId="31EFD776" w14:textId="11A96F5F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Période souhaitée : </w:t>
      </w:r>
      <w:r w:rsidR="00E511BD">
        <w:rPr>
          <w:rFonts w:ascii="Times New Roman" w:hAnsi="Times New Roman" w:cs="Times New Roman"/>
          <w:sz w:val="24"/>
          <w:szCs w:val="24"/>
        </w:rPr>
        <w:t xml:space="preserve">Juin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511BD">
        <w:rPr>
          <w:rFonts w:ascii="Times New Roman" w:hAnsi="Times New Roman" w:cs="Times New Roman"/>
          <w:sz w:val="24"/>
          <w:szCs w:val="24"/>
        </w:rPr>
        <w:t xml:space="preserve">Aout 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5929A6ED" w14:textId="0BB498BC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L’équipe de consultance(e) soumettra un chronogramme détaillé dans son offre technique.</w:t>
      </w:r>
    </w:p>
    <w:p w14:paraId="2DF5C2DE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8418049" w14:textId="77777777" w:rsidR="00057A57" w:rsidRPr="00FE7937" w:rsidRDefault="008D02DB">
      <w:pPr>
        <w:spacing w:before="280" w:after="120"/>
        <w:rPr>
          <w:rFonts w:ascii="Times New Roman" w:hAnsi="Times New Roman" w:cs="Times New Roman"/>
          <w:color w:val="7030A0"/>
          <w:sz w:val="24"/>
          <w:szCs w:val="24"/>
        </w:rPr>
      </w:pPr>
      <w:r w:rsidRPr="00FE79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9.  POUR POSTULER</w:t>
      </w:r>
    </w:p>
    <w:p w14:paraId="1254F556" w14:textId="002BCD2E" w:rsidR="00057A57" w:rsidRPr="006807DD" w:rsidRDefault="008D02DB" w:rsidP="00A31A44">
      <w:pPr>
        <w:spacing w:before="100" w:after="100" w:line="2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candidat(e)s qualifié(e)s (cabinet de consultance) doivent soumettre les documents suivants :</w:t>
      </w:r>
    </w:p>
    <w:p w14:paraId="6054AC8C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offre technique détaillant la démarche méthodologique proposée et le plan de travail ;</w:t>
      </w:r>
    </w:p>
    <w:p w14:paraId="2B6C5B91" w14:textId="47A1578A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offre financière</w:t>
      </w:r>
      <w:r w:rsidR="00A31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0181F2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CV détaillé avec les références de trois (3) personnes ayant supervisé des travaux similaires ;</w:t>
      </w:r>
    </w:p>
    <w:p w14:paraId="0FE30A91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ou plusieurs exemples de rapports d’enquêtes similaires réalisé(e)s ;</w:t>
      </w:r>
    </w:p>
    <w:p w14:paraId="141914A6" w14:textId="77777777" w:rsidR="00057A57" w:rsidRPr="006807DD" w:rsidRDefault="008D02DB">
      <w:pPr>
        <w:pStyle w:val="Paragraphedeliste"/>
        <w:numPr>
          <w:ilvl w:val="0"/>
          <w:numId w:val="1"/>
        </w:numPr>
        <w:spacing w:before="60" w:after="60" w:line="27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copie du/des diplôme(s).</w:t>
      </w:r>
    </w:p>
    <w:p w14:paraId="2139F215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708D7EF" w14:textId="1869C7FD" w:rsidR="00057A57" w:rsidRPr="006807DD" w:rsidRDefault="008D02DB">
      <w:pPr>
        <w:spacing w:before="100" w:after="100" w:line="2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dossiers sont à soumettre par voie électronique à l’adresse : </w:t>
      </w:r>
      <w:hyperlink r:id="rId11" w:history="1">
        <w:r w:rsidR="00234C37" w:rsidRPr="00234C37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sn.procurement@hki.org</w:t>
        </w:r>
      </w:hyperlink>
      <w:r w:rsidR="00234C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indiquant l’objet « Consultant(e) PECS 2026 » dans la ligne d’objet.</w:t>
      </w:r>
    </w:p>
    <w:p w14:paraId="3950D087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C5CA9AD" w14:textId="0F00E1A7" w:rsidR="00057A57" w:rsidRPr="006807DD" w:rsidRDefault="008D02DB">
      <w:pPr>
        <w:spacing w:before="100" w:after="100" w:line="2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limite de dépôt des candidatures : </w:t>
      </w:r>
      <w:r w:rsidR="007862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34C37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95729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50855579" w14:textId="77777777" w:rsidR="00057A57" w:rsidRPr="006807DD" w:rsidRDefault="00057A5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357E62E" w14:textId="77777777" w:rsidR="006807DD" w:rsidRPr="00FE7937" w:rsidRDefault="006807DD" w:rsidP="006807DD">
      <w:pPr>
        <w:spacing w:before="60" w:after="30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FE79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NB : Seules les candidatures des cabinets de consultance sont acceptées.</w:t>
      </w:r>
    </w:p>
    <w:p w14:paraId="262CD0BC" w14:textId="16D9F9FC" w:rsidR="00057A57" w:rsidRPr="006807DD" w:rsidRDefault="00057A57" w:rsidP="006807DD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sectPr w:rsidR="00057A57" w:rsidRPr="006807DD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72AA" w14:textId="77777777" w:rsidR="004D0F32" w:rsidRDefault="004D0F32">
      <w:r>
        <w:separator/>
      </w:r>
    </w:p>
  </w:endnote>
  <w:endnote w:type="continuationSeparator" w:id="0">
    <w:p w14:paraId="5C02C887" w14:textId="77777777" w:rsidR="004D0F32" w:rsidRDefault="004D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850E" w14:textId="0BD354FA" w:rsidR="00743F4B" w:rsidRDefault="00743F4B">
    <w:pPr>
      <w:pBdr>
        <w:top w:val="single" w:sz="4" w:space="4" w:color="2E75B6"/>
      </w:pBdr>
      <w:spacing w:before="80"/>
      <w:jc w:val="center"/>
    </w:pPr>
    <w:r>
      <w:rPr>
        <w:i/>
        <w:iCs/>
        <w:color w:val="888888"/>
        <w:sz w:val="16"/>
        <w:szCs w:val="16"/>
      </w:rPr>
      <w:t>HELEN KELLER Sénégal – PECS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E2EB" w14:textId="77777777" w:rsidR="004D0F32" w:rsidRDefault="004D0F32">
      <w:r>
        <w:separator/>
      </w:r>
    </w:p>
  </w:footnote>
  <w:footnote w:type="continuationSeparator" w:id="0">
    <w:p w14:paraId="7502E795" w14:textId="77777777" w:rsidR="004D0F32" w:rsidRDefault="004D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A92C" w14:textId="63D0708A" w:rsidR="00743F4B" w:rsidRDefault="00743F4B">
    <w:pPr>
      <w:pBdr>
        <w:bottom w:val="single" w:sz="6" w:space="6" w:color="2E75B6"/>
      </w:pBdr>
      <w:tabs>
        <w:tab w:val="right" w:pos="9072"/>
      </w:tabs>
      <w:spacing w:after="80"/>
      <w:rPr>
        <w:b/>
        <w:bCs/>
        <w:color w:val="1F4E79"/>
        <w:sz w:val="18"/>
        <w:szCs w:val="18"/>
      </w:rPr>
    </w:pPr>
    <w:r w:rsidRPr="00A63484">
      <w:rPr>
        <w:rFonts w:ascii="Cambria" w:eastAsia="Cambria" w:hAnsi="Cambria" w:cs="Cambria"/>
        <w:noProof/>
        <w:lang w:val="en-US"/>
      </w:rPr>
      <w:drawing>
        <wp:anchor distT="0" distB="0" distL="114300" distR="114300" simplePos="0" relativeHeight="251658241" behindDoc="0" locked="0" layoutInCell="1" allowOverlap="1" wp14:anchorId="4A4884A0" wp14:editId="5B14C267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7070090" cy="5702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3C03385E-2DFE-4164-925E-B569CE5AF5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009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0BC1" w:rsidRPr="00A63484">
      <w:rPr>
        <w:rFonts w:ascii="Cambria" w:eastAsia="Cambria" w:hAnsi="Cambria" w:cs="Cambria"/>
        <w:noProof/>
        <w:lang w:val="en-US"/>
      </w:rPr>
      <w:drawing>
        <wp:anchor distT="0" distB="0" distL="114300" distR="114300" simplePos="0" relativeHeight="251658240" behindDoc="0" locked="0" layoutInCell="1" allowOverlap="1" wp14:anchorId="062994E9" wp14:editId="4B7C5E53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7070090" cy="570230"/>
          <wp:effectExtent l="0" t="0" r="0" b="1270"/>
          <wp:wrapNone/>
          <wp:docPr id="1649153944" name="Picture 3">
            <a:extLst xmlns:a="http://schemas.openxmlformats.org/drawingml/2006/main">
              <a:ext uri="{FF2B5EF4-FFF2-40B4-BE49-F238E27FC236}">
                <a16:creationId xmlns:a16="http://schemas.microsoft.com/office/drawing/2014/main" id="{0EBBC457-9273-4E42-8624-5DB0BE424B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009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C2493A" w14:textId="77777777" w:rsidR="00743F4B" w:rsidRDefault="00743F4B">
    <w:pPr>
      <w:pBdr>
        <w:bottom w:val="single" w:sz="6" w:space="6" w:color="2E75B6"/>
      </w:pBdr>
      <w:tabs>
        <w:tab w:val="right" w:pos="9072"/>
      </w:tabs>
      <w:spacing w:after="80"/>
      <w:rPr>
        <w:b/>
        <w:bCs/>
        <w:color w:val="1F4E79"/>
        <w:sz w:val="18"/>
        <w:szCs w:val="18"/>
      </w:rPr>
    </w:pPr>
  </w:p>
  <w:p w14:paraId="60748498" w14:textId="6AA2C73C" w:rsidR="00743F4B" w:rsidRDefault="00743F4B" w:rsidP="6E01AADA">
    <w:pPr>
      <w:pBdr>
        <w:bottom w:val="single" w:sz="6" w:space="6" w:color="2E75B6"/>
      </w:pBdr>
      <w:tabs>
        <w:tab w:val="right" w:pos="9072"/>
      </w:tabs>
      <w:spacing w:after="80"/>
    </w:pPr>
    <w:r w:rsidRPr="6E01AADA">
      <w:rPr>
        <w:i/>
        <w:iCs/>
        <w:color w:val="777777"/>
        <w:sz w:val="18"/>
        <w:szCs w:val="18"/>
      </w:rPr>
      <w:t>Termes de Référence – Consultant PECS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5EF"/>
    <w:multiLevelType w:val="hybridMultilevel"/>
    <w:tmpl w:val="F898699A"/>
    <w:lvl w:ilvl="0" w:tplc="CF9AFBE4">
      <w:start w:val="1"/>
      <w:numFmt w:val="bullet"/>
      <w:lvlText w:val="●"/>
      <w:lvlJc w:val="left"/>
      <w:pPr>
        <w:ind w:left="720" w:hanging="360"/>
      </w:pPr>
    </w:lvl>
    <w:lvl w:ilvl="1" w:tplc="243EB2A8">
      <w:start w:val="1"/>
      <w:numFmt w:val="bullet"/>
      <w:lvlText w:val="○"/>
      <w:lvlJc w:val="left"/>
      <w:pPr>
        <w:ind w:left="1440" w:hanging="360"/>
      </w:pPr>
    </w:lvl>
    <w:lvl w:ilvl="2" w:tplc="64C67C3E">
      <w:start w:val="1"/>
      <w:numFmt w:val="bullet"/>
      <w:lvlText w:val="■"/>
      <w:lvlJc w:val="left"/>
      <w:pPr>
        <w:ind w:left="2160" w:hanging="360"/>
      </w:pPr>
    </w:lvl>
    <w:lvl w:ilvl="3" w:tplc="FB50C9F2">
      <w:start w:val="1"/>
      <w:numFmt w:val="bullet"/>
      <w:lvlText w:val="●"/>
      <w:lvlJc w:val="left"/>
      <w:pPr>
        <w:ind w:left="2880" w:hanging="360"/>
      </w:pPr>
    </w:lvl>
    <w:lvl w:ilvl="4" w:tplc="05620104">
      <w:start w:val="1"/>
      <w:numFmt w:val="bullet"/>
      <w:lvlText w:val="○"/>
      <w:lvlJc w:val="left"/>
      <w:pPr>
        <w:ind w:left="3600" w:hanging="360"/>
      </w:pPr>
    </w:lvl>
    <w:lvl w:ilvl="5" w:tplc="5692851A">
      <w:start w:val="1"/>
      <w:numFmt w:val="bullet"/>
      <w:lvlText w:val="■"/>
      <w:lvlJc w:val="left"/>
      <w:pPr>
        <w:ind w:left="4320" w:hanging="360"/>
      </w:pPr>
    </w:lvl>
    <w:lvl w:ilvl="6" w:tplc="B708237A">
      <w:start w:val="1"/>
      <w:numFmt w:val="bullet"/>
      <w:lvlText w:val="●"/>
      <w:lvlJc w:val="left"/>
      <w:pPr>
        <w:ind w:left="5040" w:hanging="360"/>
      </w:pPr>
    </w:lvl>
    <w:lvl w:ilvl="7" w:tplc="6418457E">
      <w:start w:val="1"/>
      <w:numFmt w:val="bullet"/>
      <w:lvlText w:val="●"/>
      <w:lvlJc w:val="left"/>
      <w:pPr>
        <w:ind w:left="5760" w:hanging="360"/>
      </w:pPr>
    </w:lvl>
    <w:lvl w:ilvl="8" w:tplc="616608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7410B4"/>
    <w:multiLevelType w:val="hybridMultilevel"/>
    <w:tmpl w:val="F72299A8"/>
    <w:lvl w:ilvl="0" w:tplc="3976F7B4">
      <w:start w:val="1"/>
      <w:numFmt w:val="bullet"/>
      <w:lvlText w:val="•"/>
      <w:lvlJc w:val="left"/>
      <w:pPr>
        <w:ind w:left="600" w:hanging="300"/>
      </w:pPr>
    </w:lvl>
    <w:lvl w:ilvl="1" w:tplc="6F50C052">
      <w:numFmt w:val="decimal"/>
      <w:lvlText w:val=""/>
      <w:lvlJc w:val="left"/>
    </w:lvl>
    <w:lvl w:ilvl="2" w:tplc="ABF0A272">
      <w:numFmt w:val="decimal"/>
      <w:lvlText w:val=""/>
      <w:lvlJc w:val="left"/>
    </w:lvl>
    <w:lvl w:ilvl="3" w:tplc="74E015C4">
      <w:numFmt w:val="decimal"/>
      <w:lvlText w:val=""/>
      <w:lvlJc w:val="left"/>
    </w:lvl>
    <w:lvl w:ilvl="4" w:tplc="66564B60">
      <w:numFmt w:val="decimal"/>
      <w:lvlText w:val=""/>
      <w:lvlJc w:val="left"/>
    </w:lvl>
    <w:lvl w:ilvl="5" w:tplc="1222FFE4">
      <w:numFmt w:val="decimal"/>
      <w:lvlText w:val=""/>
      <w:lvlJc w:val="left"/>
    </w:lvl>
    <w:lvl w:ilvl="6" w:tplc="7A2ED68C">
      <w:numFmt w:val="decimal"/>
      <w:lvlText w:val=""/>
      <w:lvlJc w:val="left"/>
    </w:lvl>
    <w:lvl w:ilvl="7" w:tplc="5DC0EB34">
      <w:numFmt w:val="decimal"/>
      <w:lvlText w:val=""/>
      <w:lvlJc w:val="left"/>
    </w:lvl>
    <w:lvl w:ilvl="8" w:tplc="AF78312A">
      <w:numFmt w:val="decimal"/>
      <w:lvlText w:val=""/>
      <w:lvlJc w:val="left"/>
    </w:lvl>
  </w:abstractNum>
  <w:num w:numId="1" w16cid:durableId="1393886513">
    <w:abstractNumId w:val="1"/>
    <w:lvlOverride w:ilvl="0">
      <w:startOverride w:val="1"/>
    </w:lvlOverride>
  </w:num>
  <w:num w:numId="2" w16cid:durableId="8735364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57"/>
    <w:rsid w:val="0000681A"/>
    <w:rsid w:val="0003209C"/>
    <w:rsid w:val="00046950"/>
    <w:rsid w:val="00057A57"/>
    <w:rsid w:val="00093D5E"/>
    <w:rsid w:val="000B64F3"/>
    <w:rsid w:val="000B67E1"/>
    <w:rsid w:val="000D7D11"/>
    <w:rsid w:val="00102F22"/>
    <w:rsid w:val="00114404"/>
    <w:rsid w:val="00114C58"/>
    <w:rsid w:val="00141C6A"/>
    <w:rsid w:val="0014332C"/>
    <w:rsid w:val="001906DE"/>
    <w:rsid w:val="001C000E"/>
    <w:rsid w:val="001C3F90"/>
    <w:rsid w:val="00234C37"/>
    <w:rsid w:val="00286433"/>
    <w:rsid w:val="002C7B0E"/>
    <w:rsid w:val="00302166"/>
    <w:rsid w:val="003524BC"/>
    <w:rsid w:val="0035732F"/>
    <w:rsid w:val="00372E79"/>
    <w:rsid w:val="003937C8"/>
    <w:rsid w:val="003C713A"/>
    <w:rsid w:val="003D01DB"/>
    <w:rsid w:val="0041201E"/>
    <w:rsid w:val="0042071E"/>
    <w:rsid w:val="00422271"/>
    <w:rsid w:val="004375C1"/>
    <w:rsid w:val="00466901"/>
    <w:rsid w:val="004B6CC1"/>
    <w:rsid w:val="004C0BEB"/>
    <w:rsid w:val="004C5F78"/>
    <w:rsid w:val="004D0F32"/>
    <w:rsid w:val="004E15DF"/>
    <w:rsid w:val="00504A4B"/>
    <w:rsid w:val="00545A3E"/>
    <w:rsid w:val="005B7FAD"/>
    <w:rsid w:val="005C332C"/>
    <w:rsid w:val="005E731F"/>
    <w:rsid w:val="00635FC4"/>
    <w:rsid w:val="00664B1F"/>
    <w:rsid w:val="006664EF"/>
    <w:rsid w:val="006807DD"/>
    <w:rsid w:val="00684404"/>
    <w:rsid w:val="006C03FF"/>
    <w:rsid w:val="006E5BE0"/>
    <w:rsid w:val="00743F4B"/>
    <w:rsid w:val="00765D32"/>
    <w:rsid w:val="00772BBC"/>
    <w:rsid w:val="00786209"/>
    <w:rsid w:val="00795729"/>
    <w:rsid w:val="007A171C"/>
    <w:rsid w:val="007C4276"/>
    <w:rsid w:val="007C77CB"/>
    <w:rsid w:val="007E63DB"/>
    <w:rsid w:val="007F7C2B"/>
    <w:rsid w:val="0081749F"/>
    <w:rsid w:val="00834C03"/>
    <w:rsid w:val="00851349"/>
    <w:rsid w:val="008550E3"/>
    <w:rsid w:val="0086259C"/>
    <w:rsid w:val="008D02DB"/>
    <w:rsid w:val="00904D5F"/>
    <w:rsid w:val="0090654F"/>
    <w:rsid w:val="009119EE"/>
    <w:rsid w:val="009327C1"/>
    <w:rsid w:val="00945FA9"/>
    <w:rsid w:val="009552CC"/>
    <w:rsid w:val="00965121"/>
    <w:rsid w:val="00983AD6"/>
    <w:rsid w:val="00987EB2"/>
    <w:rsid w:val="009B2E21"/>
    <w:rsid w:val="009C2768"/>
    <w:rsid w:val="009D7988"/>
    <w:rsid w:val="009E490C"/>
    <w:rsid w:val="00A31A44"/>
    <w:rsid w:val="00AC3548"/>
    <w:rsid w:val="00AD5278"/>
    <w:rsid w:val="00B04203"/>
    <w:rsid w:val="00B51FDE"/>
    <w:rsid w:val="00B60432"/>
    <w:rsid w:val="00B70C00"/>
    <w:rsid w:val="00B83E6E"/>
    <w:rsid w:val="00B878C0"/>
    <w:rsid w:val="00BC4CD5"/>
    <w:rsid w:val="00BC5392"/>
    <w:rsid w:val="00BF1F2C"/>
    <w:rsid w:val="00C00C0D"/>
    <w:rsid w:val="00C75131"/>
    <w:rsid w:val="00C83D92"/>
    <w:rsid w:val="00D40BE8"/>
    <w:rsid w:val="00D57D0A"/>
    <w:rsid w:val="00D6674F"/>
    <w:rsid w:val="00D70BE0"/>
    <w:rsid w:val="00D87973"/>
    <w:rsid w:val="00DC29C0"/>
    <w:rsid w:val="00E06637"/>
    <w:rsid w:val="00E30BC1"/>
    <w:rsid w:val="00E31611"/>
    <w:rsid w:val="00E511BD"/>
    <w:rsid w:val="00E5447B"/>
    <w:rsid w:val="00E63668"/>
    <w:rsid w:val="00E758D3"/>
    <w:rsid w:val="00E76AF8"/>
    <w:rsid w:val="00EB6E0D"/>
    <w:rsid w:val="00ED3B24"/>
    <w:rsid w:val="00EF297D"/>
    <w:rsid w:val="00F3340D"/>
    <w:rsid w:val="00F34741"/>
    <w:rsid w:val="00F6227F"/>
    <w:rsid w:val="00FD2A9D"/>
    <w:rsid w:val="00FE7937"/>
    <w:rsid w:val="01CC3C48"/>
    <w:rsid w:val="0255F5B6"/>
    <w:rsid w:val="038E48CD"/>
    <w:rsid w:val="04FB2549"/>
    <w:rsid w:val="06386D20"/>
    <w:rsid w:val="06D56928"/>
    <w:rsid w:val="08386C8C"/>
    <w:rsid w:val="09325803"/>
    <w:rsid w:val="0D22FC93"/>
    <w:rsid w:val="0D233902"/>
    <w:rsid w:val="0D720C8F"/>
    <w:rsid w:val="117CA4C0"/>
    <w:rsid w:val="11F4D29E"/>
    <w:rsid w:val="12648AB7"/>
    <w:rsid w:val="15E7137F"/>
    <w:rsid w:val="1774950B"/>
    <w:rsid w:val="17AC022E"/>
    <w:rsid w:val="2058CEC6"/>
    <w:rsid w:val="21EAEC06"/>
    <w:rsid w:val="25BD1E44"/>
    <w:rsid w:val="26A069E3"/>
    <w:rsid w:val="26E0042C"/>
    <w:rsid w:val="2AD4DFD9"/>
    <w:rsid w:val="2C69D60A"/>
    <w:rsid w:val="2D14397C"/>
    <w:rsid w:val="2E1A7B9C"/>
    <w:rsid w:val="2FA3DD32"/>
    <w:rsid w:val="2FC227C7"/>
    <w:rsid w:val="2FFB7DCA"/>
    <w:rsid w:val="304FBA51"/>
    <w:rsid w:val="31533B0D"/>
    <w:rsid w:val="32CE83A5"/>
    <w:rsid w:val="340A9025"/>
    <w:rsid w:val="3786A0CA"/>
    <w:rsid w:val="3B10E437"/>
    <w:rsid w:val="3F407098"/>
    <w:rsid w:val="3F483939"/>
    <w:rsid w:val="40B8E670"/>
    <w:rsid w:val="42A2F791"/>
    <w:rsid w:val="470E686D"/>
    <w:rsid w:val="478CC922"/>
    <w:rsid w:val="48DDD607"/>
    <w:rsid w:val="4BFDBD3B"/>
    <w:rsid w:val="4F90A2AC"/>
    <w:rsid w:val="5042D630"/>
    <w:rsid w:val="5175724B"/>
    <w:rsid w:val="5296C253"/>
    <w:rsid w:val="540A04E2"/>
    <w:rsid w:val="54508352"/>
    <w:rsid w:val="588AC950"/>
    <w:rsid w:val="5D62793A"/>
    <w:rsid w:val="5FA47F11"/>
    <w:rsid w:val="657BBE27"/>
    <w:rsid w:val="6DD0E1A9"/>
    <w:rsid w:val="6E01AADA"/>
    <w:rsid w:val="6E5D8558"/>
    <w:rsid w:val="7091DB0D"/>
    <w:rsid w:val="72571ADE"/>
    <w:rsid w:val="743A9A9F"/>
    <w:rsid w:val="76EC439F"/>
    <w:rsid w:val="78150852"/>
    <w:rsid w:val="78386DA2"/>
    <w:rsid w:val="7A3DDAF6"/>
    <w:rsid w:val="7B3172AE"/>
    <w:rsid w:val="7B759691"/>
    <w:rsid w:val="7E067231"/>
    <w:rsid w:val="7F1E9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178A"/>
  <w15:docId w15:val="{BB525A42-DCF8-4120-AD0D-737F177D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En-tte">
    <w:name w:val="header"/>
    <w:basedOn w:val="Normal"/>
    <w:link w:val="En-tteCar1"/>
    <w:uiPriority w:val="99"/>
    <w:unhideWhenUsed/>
    <w:rsid w:val="00F6227F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rsid w:val="00F6227F"/>
  </w:style>
  <w:style w:type="paragraph" w:styleId="Pieddepage">
    <w:name w:val="footer"/>
    <w:basedOn w:val="Normal"/>
    <w:link w:val="PieddepageCar1"/>
    <w:uiPriority w:val="99"/>
    <w:unhideWhenUsed/>
    <w:rsid w:val="00F6227F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F6227F"/>
  </w:style>
  <w:style w:type="paragraph" w:styleId="Commentaire">
    <w:name w:val="annotation text"/>
    <w:basedOn w:val="Normal"/>
    <w:link w:val="CommentaireCar1"/>
    <w:uiPriority w:val="99"/>
    <w:unhideWhenUsed/>
    <w:rsid w:val="00AD5278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AD5278"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807DD"/>
    <w:rPr>
      <w:color w:val="605E5C"/>
      <w:shd w:val="clear" w:color="auto" w:fill="E1DFDD"/>
    </w:rPr>
  </w:style>
  <w:style w:type="character" w:customStyle="1" w:styleId="CommentReference">
    <w:name w:val="Comment Reference"/>
    <w:basedOn w:val="Policepardfaut"/>
    <w:uiPriority w:val="99"/>
    <w:semiHidden/>
    <w:unhideWhenUsed/>
    <w:rsid w:val="006E5BE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AD5278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AD5278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6E5BE0"/>
    <w:rPr>
      <w:color w:val="2B579A"/>
      <w:shd w:val="clear" w:color="auto" w:fill="E1DFDD"/>
    </w:rPr>
  </w:style>
  <w:style w:type="table" w:styleId="Grilledutableau">
    <w:name w:val="Table Grid"/>
    <w:basedOn w:val="TableNormal"/>
    <w:uiPriority w:val="39"/>
    <w:rsid w:val="0066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Car">
    <w:name w:val="Note de bas de page Car"/>
    <w:uiPriority w:val="99"/>
    <w:semiHidden/>
    <w:unhideWhenUsed/>
    <w:rsid w:val="0014332C"/>
    <w:rPr>
      <w:sz w:val="20"/>
      <w:szCs w:val="20"/>
    </w:rPr>
  </w:style>
  <w:style w:type="character" w:customStyle="1" w:styleId="En-tteCar">
    <w:name w:val="En-tête Car"/>
    <w:basedOn w:val="Policepardfaut"/>
    <w:uiPriority w:val="99"/>
    <w:rsid w:val="0014332C"/>
  </w:style>
  <w:style w:type="character" w:customStyle="1" w:styleId="PieddepageCar">
    <w:name w:val="Pied de page Car"/>
    <w:basedOn w:val="Policepardfaut"/>
    <w:uiPriority w:val="99"/>
    <w:rsid w:val="0014332C"/>
  </w:style>
  <w:style w:type="character" w:customStyle="1" w:styleId="CommentaireCar">
    <w:name w:val="Commentaire Car"/>
    <w:basedOn w:val="Policepardfaut"/>
    <w:uiPriority w:val="99"/>
    <w:rsid w:val="0014332C"/>
    <w:rPr>
      <w:sz w:val="20"/>
      <w:szCs w:val="20"/>
    </w:rPr>
  </w:style>
  <w:style w:type="character" w:customStyle="1" w:styleId="ObjetducommentaireCar">
    <w:name w:val="Objet du commentaire Car"/>
    <w:basedOn w:val="CommentaireCar"/>
    <w:uiPriority w:val="99"/>
    <w:semiHidden/>
    <w:rsid w:val="0014332C"/>
    <w:rPr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94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n.procurement@hk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n.procurement@hk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DBD900E5FB34AA83C4FDCBA743AB8" ma:contentTypeVersion="12" ma:contentTypeDescription="Create a new document." ma:contentTypeScope="" ma:versionID="a8ab6d1b75d2b2401702b3d1a4af1277">
  <xsd:schema xmlns:xsd="http://www.w3.org/2001/XMLSchema" xmlns:xs="http://www.w3.org/2001/XMLSchema" xmlns:p="http://schemas.microsoft.com/office/2006/metadata/properties" xmlns:ns2="396f21bb-4059-4192-82cf-501fc52687fc" xmlns:ns3="7d18d4a9-a9a9-408a-a594-fecc46879833" targetNamespace="http://schemas.microsoft.com/office/2006/metadata/properties" ma:root="true" ma:fieldsID="b1a5f74710d23c7adac4fb0cfaee491c" ns2:_="" ns3:_="">
    <xsd:import namespace="396f21bb-4059-4192-82cf-501fc52687fc"/>
    <xsd:import namespace="7d18d4a9-a9a9-408a-a594-fecc46879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f21bb-4059-4192-82cf-501fc526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c4d0e5-96e6-4b00-b7ef-9c0a071a6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d4a9-a9a9-408a-a594-fecc46879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c93c13-ab60-494c-8a18-5df40241534a}" ma:internalName="TaxCatchAll" ma:showField="CatchAllData" ma:web="7d18d4a9-a9a9-408a-a594-fecc46879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6f21bb-4059-4192-82cf-501fc52687fc">
      <Terms xmlns="http://schemas.microsoft.com/office/infopath/2007/PartnerControls"/>
    </lcf76f155ced4ddcb4097134ff3c332f>
    <TaxCatchAll xmlns="7d18d4a9-a9a9-408a-a594-fecc46879833" xsi:nil="true"/>
  </documentManagement>
</p:properties>
</file>

<file path=customXml/itemProps1.xml><?xml version="1.0" encoding="utf-8"?>
<ds:datastoreItem xmlns:ds="http://schemas.openxmlformats.org/officeDocument/2006/customXml" ds:itemID="{55E87C16-3CFD-497D-A9E5-006080489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58EB8-A612-4CD9-9637-8D76454BF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f21bb-4059-4192-82cf-501fc52687fc"/>
    <ds:schemaRef ds:uri="7d18d4a9-a9a9-408a-a594-fecc46879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B3F4D-964C-4003-86E1-19F6B1309651}">
  <ds:schemaRefs>
    <ds:schemaRef ds:uri="http://schemas.microsoft.com/office/2006/metadata/properties"/>
    <ds:schemaRef ds:uri="http://schemas.microsoft.com/office/infopath/2007/PartnerControls"/>
    <ds:schemaRef ds:uri="396f21bb-4059-4192-82cf-501fc52687fc"/>
    <ds:schemaRef ds:uri="7d18d4a9-a9a9-408a-a594-fecc46879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1676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Mame N. Sane</cp:lastModifiedBy>
  <cp:revision>2</cp:revision>
  <cp:lastPrinted>2026-05-13T22:29:00Z</cp:lastPrinted>
  <dcterms:created xsi:type="dcterms:W3CDTF">2026-05-13T23:41:00Z</dcterms:created>
  <dcterms:modified xsi:type="dcterms:W3CDTF">2026-05-13T23:41:00Z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0x010100C18DBD900E5FB34AA83C4FDCBA743AB8</vt:lpwstr>
  </property>
  <property fmtid="{D5CDD505-2E9C-101B-9397-08002B2CF9AE}" pid="3" name="MediaServiceImageTags">
    <vt:lpwstr/>
  </property>
</Properties>
</file>